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148E" w14:textId="77777777" w:rsidR="00E6761E" w:rsidRPr="00E6761E" w:rsidRDefault="00E6761E" w:rsidP="00E6761E">
      <w:pPr>
        <w:pStyle w:val="Heading1"/>
      </w:pPr>
      <w:r w:rsidRPr="00E6761E">
        <w:rPr>
          <w:noProof/>
        </w:rPr>
        <w:drawing>
          <wp:anchor distT="0" distB="0" distL="114300" distR="114300" simplePos="0" relativeHeight="251672064" behindDoc="0" locked="0" layoutInCell="1" allowOverlap="1" wp14:anchorId="54239764" wp14:editId="7473C219">
            <wp:simplePos x="0" y="0"/>
            <wp:positionH relativeFrom="column">
              <wp:posOffset>62</wp:posOffset>
            </wp:positionH>
            <wp:positionV relativeFrom="paragraph">
              <wp:posOffset>0</wp:posOffset>
            </wp:positionV>
            <wp:extent cx="1314000" cy="770400"/>
            <wp:effectExtent l="0" t="0" r="635" b="0"/>
            <wp:wrapTopAndBottom/>
            <wp:docPr id="126" name="Picture 12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26" name="Picture 126"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14000" cy="770400"/>
                    </a:xfrm>
                    <a:prstGeom prst="rect">
                      <a:avLst/>
                    </a:prstGeom>
                  </pic:spPr>
                </pic:pic>
              </a:graphicData>
            </a:graphic>
            <wp14:sizeRelH relativeFrom="margin">
              <wp14:pctWidth>0</wp14:pctWidth>
            </wp14:sizeRelH>
            <wp14:sizeRelV relativeFrom="margin">
              <wp14:pctHeight>0</wp14:pctHeight>
            </wp14:sizeRelV>
          </wp:anchor>
        </w:drawing>
      </w:r>
      <w:r w:rsidRPr="00E6761E">
        <w:t>Standard Data Protection Clauses to be issued by the Commissioner under S119</w:t>
      </w:r>
      <w:proofErr w:type="gramStart"/>
      <w:r w:rsidRPr="00E6761E">
        <w:t>A(</w:t>
      </w:r>
      <w:proofErr w:type="gramEnd"/>
      <w:r w:rsidRPr="00E6761E">
        <w:t>1) Data Protection Act 2018</w:t>
      </w:r>
    </w:p>
    <w:p w14:paraId="09F156E4" w14:textId="77777777" w:rsidR="00E6761E" w:rsidRPr="00E6761E" w:rsidRDefault="00E6761E" w:rsidP="00E6761E">
      <w:pPr>
        <w:pStyle w:val="Heading2"/>
        <w:rPr>
          <w:b/>
        </w:rPr>
      </w:pPr>
      <w:r w:rsidRPr="00E6761E">
        <w:t>International Data Transfer Addendum to the EU Commission Standard Contractual Clauses</w:t>
      </w:r>
    </w:p>
    <w:p w14:paraId="0A9F315D" w14:textId="11601D52" w:rsidR="00E6761E" w:rsidRPr="00E6761E" w:rsidRDefault="00766BD9" w:rsidP="00D0264F">
      <w:pPr>
        <w:pBdr>
          <w:bottom w:val="single" w:sz="4" w:space="16" w:color="003768"/>
        </w:pBdr>
        <w:spacing w:before="200" w:after="360"/>
        <w:rPr>
          <w:rFonts w:eastAsia="Times New Roman" w:cs="Times New Roman"/>
          <w:b/>
          <w:color w:val="54534A"/>
          <w:szCs w:val="18"/>
          <w:lang w:eastAsia="zh-CN"/>
        </w:rPr>
      </w:pPr>
      <w:r>
        <w:rPr>
          <w:rFonts w:eastAsia="Times New Roman" w:cs="Times New Roman"/>
          <w:b/>
          <w:color w:val="54534A"/>
          <w:szCs w:val="18"/>
          <w:lang w:eastAsia="zh-CN"/>
        </w:rPr>
        <w:t>VERSION</w:t>
      </w:r>
      <w:r w:rsidR="00D835BF" w:rsidRPr="00D835BF">
        <w:rPr>
          <w:rFonts w:eastAsia="Times New Roman" w:cs="Times New Roman"/>
          <w:b/>
          <w:color w:val="54534A"/>
          <w:szCs w:val="18"/>
          <w:lang w:eastAsia="zh-CN"/>
        </w:rPr>
        <w:t xml:space="preserve"> B1.0, in force 21 March 202</w:t>
      </w:r>
      <w:r w:rsidR="00654081">
        <w:rPr>
          <w:rFonts w:eastAsia="Times New Roman" w:cs="Times New Roman"/>
          <w:b/>
          <w:color w:val="54534A"/>
          <w:szCs w:val="18"/>
          <w:lang w:eastAsia="zh-CN"/>
        </w:rPr>
        <w:t>2</w:t>
      </w:r>
    </w:p>
    <w:p w14:paraId="4E2E2D53" w14:textId="23D25068" w:rsidR="00E6761E" w:rsidRDefault="00E6761E" w:rsidP="004C596C">
      <w:r w:rsidRPr="00E6761E">
        <w:rPr>
          <w:rFonts w:eastAsia="Times New Roman" w:cs="Times New Roman"/>
          <w:color w:val="auto"/>
          <w:szCs w:val="18"/>
          <w:lang w:eastAsia="zh-CN"/>
        </w:rPr>
        <w:t>This</w:t>
      </w:r>
      <w:bookmarkStart w:id="0" w:name="_Hlk92884578"/>
      <w:r>
        <w:rPr>
          <w:rFonts w:eastAsia="Times New Roman" w:cs="Times New Roman"/>
          <w:color w:val="auto"/>
          <w:szCs w:val="18"/>
          <w:lang w:eastAsia="zh-CN"/>
        </w:rPr>
        <w:t xml:space="preserve"> </w:t>
      </w:r>
      <w:r w:rsidR="0012506A">
        <w:t>Addendum</w:t>
      </w:r>
      <w:r w:rsidR="0012506A" w:rsidRPr="0012506A">
        <w:t xml:space="preserve"> has been issued by the Information Commissioner for Parties making </w:t>
      </w:r>
      <w:r w:rsidR="00D7744B">
        <w:t>R</w:t>
      </w:r>
      <w:r w:rsidR="0012506A" w:rsidRPr="0012506A">
        <w:t xml:space="preserve">estricted </w:t>
      </w:r>
      <w:r w:rsidR="00D7744B">
        <w:t>T</w:t>
      </w:r>
      <w:r w:rsidR="0012506A" w:rsidRPr="0012506A">
        <w:t xml:space="preserve">ransfers. The Information Commissioner considers that it provides Appropriate Safeguards for </w:t>
      </w:r>
      <w:r w:rsidR="00D7744B">
        <w:t>R</w:t>
      </w:r>
      <w:r w:rsidR="0012506A" w:rsidRPr="0012506A">
        <w:t xml:space="preserve">estricted </w:t>
      </w:r>
      <w:r w:rsidR="00D7744B">
        <w:t>T</w:t>
      </w:r>
      <w:r w:rsidR="0012506A" w:rsidRPr="0012506A">
        <w:t>ransfers when it is entered into as a legally binding contract.</w:t>
      </w:r>
      <w:bookmarkStart w:id="1" w:name="_Hlk92885565"/>
      <w:bookmarkEnd w:id="0"/>
    </w:p>
    <w:p w14:paraId="3410A2B4" w14:textId="77777777" w:rsidR="00E6761E" w:rsidRDefault="00E6761E" w:rsidP="00E6761E">
      <w:pPr>
        <w:pStyle w:val="Heading2"/>
      </w:pPr>
      <w:bookmarkStart w:id="2" w:name="_Toc79405424"/>
      <w:r>
        <w:t xml:space="preserve">Part 1: </w:t>
      </w:r>
      <w:r w:rsidRPr="009426CA">
        <w:t>Tables</w:t>
      </w:r>
      <w:bookmarkEnd w:id="2"/>
    </w:p>
    <w:p w14:paraId="2A4F3384" w14:textId="12621D49" w:rsidR="00E6761E" w:rsidRPr="00E3487F" w:rsidRDefault="007D19BC" w:rsidP="00E6761E">
      <w:pPr>
        <w:pStyle w:val="Heading3"/>
      </w:pPr>
      <w:r>
        <w:t xml:space="preserve">Table </w:t>
      </w:r>
      <w:r w:rsidR="00E6761E" w:rsidRPr="001F67AB">
        <w:t>1: Parties</w:t>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1"/>
        <w:gridCol w:w="3445"/>
        <w:gridCol w:w="3447"/>
      </w:tblGrid>
      <w:tr w:rsidR="00E6761E" w:rsidRPr="007E412D" w14:paraId="12A16EB0" w14:textId="77777777" w:rsidTr="00143995">
        <w:tc>
          <w:tcPr>
            <w:tcW w:w="1177" w:type="pct"/>
            <w:tcBorders>
              <w:top w:val="single" w:sz="4" w:space="0" w:color="FFC000"/>
            </w:tcBorders>
            <w:shd w:val="clear" w:color="auto" w:fill="FFF9DD"/>
          </w:tcPr>
          <w:p w14:paraId="3B781084" w14:textId="77777777" w:rsidR="00E6761E" w:rsidRPr="007E412D" w:rsidRDefault="00E6761E" w:rsidP="00143995">
            <w:pPr>
              <w:pStyle w:val="Body"/>
              <w:rPr>
                <w:b/>
                <w:bCs/>
                <w:color w:val="003768"/>
              </w:rPr>
            </w:pPr>
            <w:r w:rsidRPr="007E412D">
              <w:rPr>
                <w:b/>
                <w:bCs/>
                <w:color w:val="003768"/>
              </w:rPr>
              <w:t>Start date</w:t>
            </w:r>
          </w:p>
        </w:tc>
        <w:tc>
          <w:tcPr>
            <w:tcW w:w="3823" w:type="pct"/>
            <w:gridSpan w:val="2"/>
            <w:tcBorders>
              <w:top w:val="single" w:sz="4" w:space="0" w:color="FFC000"/>
            </w:tcBorders>
            <w:shd w:val="clear" w:color="auto" w:fill="auto"/>
          </w:tcPr>
          <w:p w14:paraId="081E6F53" w14:textId="318D5371" w:rsidR="00E6761E" w:rsidRPr="007E412D" w:rsidRDefault="00AD7F81" w:rsidP="00143995">
            <w:pPr>
              <w:pStyle w:val="Body"/>
            </w:pPr>
            <w:r>
              <w:t>November 1, 2022</w:t>
            </w:r>
          </w:p>
        </w:tc>
      </w:tr>
      <w:tr w:rsidR="00E6761E" w:rsidRPr="007E412D" w14:paraId="4AE7C206" w14:textId="77777777" w:rsidTr="00143995">
        <w:tc>
          <w:tcPr>
            <w:tcW w:w="1177" w:type="pct"/>
            <w:shd w:val="clear" w:color="auto" w:fill="FFF0A9"/>
            <w:vAlign w:val="center"/>
          </w:tcPr>
          <w:p w14:paraId="56201DDE" w14:textId="77777777" w:rsidR="00E6761E" w:rsidRPr="007E412D" w:rsidRDefault="00E6761E" w:rsidP="00143995">
            <w:pPr>
              <w:pStyle w:val="Body"/>
              <w:rPr>
                <w:b/>
                <w:bCs/>
                <w:color w:val="003768"/>
              </w:rPr>
            </w:pPr>
            <w:r w:rsidRPr="007E412D">
              <w:rPr>
                <w:b/>
                <w:bCs/>
                <w:color w:val="003768"/>
              </w:rPr>
              <w:t>The Parties</w:t>
            </w:r>
          </w:p>
        </w:tc>
        <w:tc>
          <w:tcPr>
            <w:tcW w:w="1911" w:type="pct"/>
            <w:shd w:val="clear" w:color="auto" w:fill="FFF0A9"/>
            <w:vAlign w:val="center"/>
          </w:tcPr>
          <w:p w14:paraId="2926B5E0" w14:textId="77777777" w:rsidR="00E6761E" w:rsidRPr="007E412D" w:rsidRDefault="00E6761E" w:rsidP="00143995">
            <w:pPr>
              <w:pStyle w:val="Body"/>
              <w:rPr>
                <w:b/>
                <w:bCs/>
                <w:color w:val="003768"/>
              </w:rPr>
            </w:pPr>
            <w:r w:rsidRPr="007E412D">
              <w:rPr>
                <w:b/>
                <w:bCs/>
                <w:color w:val="003768"/>
              </w:rPr>
              <w:t>Exporter (who sends the Restricted Transfer)</w:t>
            </w:r>
          </w:p>
        </w:tc>
        <w:tc>
          <w:tcPr>
            <w:tcW w:w="1912" w:type="pct"/>
            <w:shd w:val="clear" w:color="auto" w:fill="FFF0A9"/>
            <w:vAlign w:val="center"/>
          </w:tcPr>
          <w:p w14:paraId="4D1C1F40" w14:textId="77777777" w:rsidR="00E6761E" w:rsidRPr="007E412D" w:rsidRDefault="00E6761E" w:rsidP="00143995">
            <w:pPr>
              <w:pStyle w:val="Body"/>
              <w:rPr>
                <w:b/>
                <w:bCs/>
                <w:color w:val="003768"/>
              </w:rPr>
            </w:pPr>
            <w:r w:rsidRPr="007E412D">
              <w:rPr>
                <w:b/>
                <w:bCs/>
                <w:color w:val="003768"/>
              </w:rPr>
              <w:t>Importer (who receives the Restricted Transfer)</w:t>
            </w:r>
          </w:p>
        </w:tc>
      </w:tr>
      <w:tr w:rsidR="00E6761E" w:rsidRPr="007E412D" w14:paraId="5F94A869" w14:textId="77777777" w:rsidTr="00143995">
        <w:tc>
          <w:tcPr>
            <w:tcW w:w="1177" w:type="pct"/>
            <w:shd w:val="clear" w:color="auto" w:fill="FFF9DD"/>
          </w:tcPr>
          <w:p w14:paraId="380B4FF9" w14:textId="77777777" w:rsidR="00E6761E" w:rsidRPr="007E412D" w:rsidRDefault="00E6761E" w:rsidP="00143995">
            <w:pPr>
              <w:pStyle w:val="Body"/>
              <w:rPr>
                <w:b/>
                <w:bCs/>
                <w:color w:val="003768"/>
              </w:rPr>
            </w:pPr>
            <w:r w:rsidRPr="007E412D">
              <w:rPr>
                <w:b/>
                <w:bCs/>
                <w:color w:val="003768"/>
              </w:rPr>
              <w:t>Parties’ details</w:t>
            </w:r>
          </w:p>
        </w:tc>
        <w:tc>
          <w:tcPr>
            <w:tcW w:w="1911" w:type="pct"/>
          </w:tcPr>
          <w:p w14:paraId="2507DD99" w14:textId="77777777" w:rsidR="00E6761E" w:rsidRPr="007E412D" w:rsidRDefault="00E6761E" w:rsidP="00143995">
            <w:pPr>
              <w:pStyle w:val="Body"/>
            </w:pPr>
            <w:r w:rsidRPr="007E412D">
              <w:t>Full legal name:</w:t>
            </w:r>
            <w:r>
              <w:t xml:space="preserve"> </w:t>
            </w:r>
            <w:bookmarkStart w:id="3" w:name="_Hlk93316049"/>
            <w:r w:rsidRPr="001314F2">
              <w:rPr>
                <w:highlight w:val="lightGray"/>
              </w:rPr>
              <w:fldChar w:fldCharType="begin" w:fldLock="1">
                <w:ffData>
                  <w:name w:val="Text2"/>
                  <w:enabled/>
                  <w:calcOnExit w:val="0"/>
                  <w:textInput/>
                </w:ffData>
              </w:fldChar>
            </w:r>
            <w:bookmarkStart w:id="4" w:name="Text2"/>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bookmarkEnd w:id="3"/>
            <w:bookmarkEnd w:id="4"/>
          </w:p>
          <w:p w14:paraId="39CCFDC4" w14:textId="77777777" w:rsidR="00E6761E" w:rsidRPr="007E412D" w:rsidRDefault="00E6761E" w:rsidP="00143995">
            <w:pPr>
              <w:pStyle w:val="Body"/>
            </w:pPr>
            <w:r w:rsidRPr="007E412D">
              <w:t>Trading name (if different):</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0830111D" w14:textId="77777777" w:rsidR="00E6761E" w:rsidRPr="007E412D" w:rsidRDefault="00E6761E" w:rsidP="00143995">
            <w:pPr>
              <w:pStyle w:val="Body"/>
            </w:pPr>
            <w:r w:rsidRPr="007E412D">
              <w:t>Main address (if a company registered address):</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370D2EE5" w14:textId="77777777" w:rsidR="00E6761E" w:rsidRPr="007E412D" w:rsidRDefault="00E6761E" w:rsidP="001A21D8">
            <w:pPr>
              <w:pStyle w:val="Body"/>
            </w:pPr>
            <w:r w:rsidRPr="007E412D">
              <w:t>Official registration number (if any) (company number or similar identifier):</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c>
          <w:tcPr>
            <w:tcW w:w="1912" w:type="pct"/>
          </w:tcPr>
          <w:p w14:paraId="0FCCEB39" w14:textId="165CE378" w:rsidR="00E6761E" w:rsidRPr="007E412D" w:rsidRDefault="00E6761E" w:rsidP="00143995">
            <w:pPr>
              <w:pStyle w:val="Body"/>
            </w:pPr>
            <w:r w:rsidRPr="007E412D">
              <w:t>Full legal name:</w:t>
            </w:r>
            <w:r>
              <w:t xml:space="preserve"> </w:t>
            </w:r>
            <w:r w:rsidR="00AD7F81">
              <w:t>TechSmith Corporation</w:t>
            </w:r>
          </w:p>
          <w:p w14:paraId="4368AFFD" w14:textId="77777777" w:rsidR="00E6761E" w:rsidRPr="007E412D" w:rsidRDefault="00E6761E" w:rsidP="00143995">
            <w:pPr>
              <w:pStyle w:val="Body"/>
            </w:pPr>
            <w:r w:rsidRPr="007E412D">
              <w:t>Trading name (if different):</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2234654A" w14:textId="22042307" w:rsidR="00E6761E" w:rsidRPr="007E412D" w:rsidRDefault="00E6761E" w:rsidP="00143995">
            <w:pPr>
              <w:pStyle w:val="Body"/>
            </w:pPr>
            <w:r w:rsidRPr="007E412D">
              <w:t>Main address (if a company registered address):</w:t>
            </w:r>
            <w:r>
              <w:t xml:space="preserve"> </w:t>
            </w:r>
            <w:r w:rsidR="00AD7F81">
              <w:t>14 Crescent Rd, East Lansing, MI 48823 USA</w:t>
            </w:r>
          </w:p>
          <w:p w14:paraId="4F1E7C55" w14:textId="77777777" w:rsidR="00E6761E" w:rsidRPr="007E412D" w:rsidRDefault="00E6761E" w:rsidP="00143995">
            <w:pPr>
              <w:pStyle w:val="Body"/>
            </w:pPr>
            <w:r w:rsidRPr="007E412D">
              <w:lastRenderedPageBreak/>
              <w:t>Official registration number (if any) (company number or similar identifier):</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r>
      <w:tr w:rsidR="00E6761E" w:rsidRPr="007E412D" w14:paraId="095C92C8" w14:textId="77777777" w:rsidTr="00143995">
        <w:tc>
          <w:tcPr>
            <w:tcW w:w="1177" w:type="pct"/>
            <w:shd w:val="clear" w:color="auto" w:fill="FFF9DD"/>
          </w:tcPr>
          <w:p w14:paraId="650DB4AF" w14:textId="77777777" w:rsidR="00E6761E" w:rsidRPr="007E412D" w:rsidRDefault="00E6761E" w:rsidP="00143995">
            <w:pPr>
              <w:pStyle w:val="Body"/>
              <w:rPr>
                <w:b/>
                <w:bCs/>
                <w:color w:val="003768"/>
              </w:rPr>
            </w:pPr>
            <w:r w:rsidRPr="007E412D">
              <w:rPr>
                <w:b/>
                <w:bCs/>
                <w:color w:val="003768"/>
              </w:rPr>
              <w:lastRenderedPageBreak/>
              <w:t>Key Contact</w:t>
            </w:r>
          </w:p>
        </w:tc>
        <w:tc>
          <w:tcPr>
            <w:tcW w:w="1911" w:type="pct"/>
          </w:tcPr>
          <w:p w14:paraId="59D99708" w14:textId="77777777" w:rsidR="00E6761E" w:rsidRPr="007E412D" w:rsidRDefault="00E6761E" w:rsidP="00143995">
            <w:pPr>
              <w:pStyle w:val="Body"/>
            </w:pPr>
            <w:r w:rsidRPr="007E412D">
              <w:t>Full Name (optional):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0B83F89C" w14:textId="77777777" w:rsidR="00E6761E" w:rsidRPr="007E412D" w:rsidRDefault="00E6761E" w:rsidP="00143995">
            <w:pPr>
              <w:pStyle w:val="Body"/>
            </w:pPr>
            <w:r w:rsidRPr="007E412D">
              <w:t>Job Title:</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60E51EF5" w14:textId="77777777" w:rsidR="00E6761E" w:rsidRPr="007E412D" w:rsidRDefault="00E6761E" w:rsidP="00143995">
            <w:pPr>
              <w:pStyle w:val="Body"/>
            </w:pPr>
            <w:r w:rsidRPr="007E412D">
              <w:t>Contact details including email</w:t>
            </w:r>
            <w: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tc>
        <w:tc>
          <w:tcPr>
            <w:tcW w:w="1912" w:type="pct"/>
          </w:tcPr>
          <w:p w14:paraId="50E1963D" w14:textId="2363EFA8" w:rsidR="00E6761E" w:rsidRPr="007E412D" w:rsidRDefault="00E6761E" w:rsidP="00143995">
            <w:pPr>
              <w:pStyle w:val="Body"/>
            </w:pPr>
            <w:r w:rsidRPr="007E412D">
              <w:t>Full Name (optional):</w:t>
            </w:r>
            <w:r>
              <w:t xml:space="preserve"> </w:t>
            </w:r>
            <w:r w:rsidR="00AD7F81">
              <w:t>Jess Lancaster</w:t>
            </w:r>
          </w:p>
          <w:p w14:paraId="794D77F3" w14:textId="412A6058" w:rsidR="00E6761E" w:rsidRPr="007E412D" w:rsidRDefault="00E6761E" w:rsidP="00143995">
            <w:pPr>
              <w:pStyle w:val="Body"/>
            </w:pPr>
            <w:r w:rsidRPr="007E412D">
              <w:t>Job Title:</w:t>
            </w:r>
            <w:r>
              <w:t xml:space="preserve"> </w:t>
            </w:r>
            <w:r w:rsidR="00AD7F81">
              <w:t>Director, Engineering Quality and Compliance</w:t>
            </w:r>
          </w:p>
          <w:p w14:paraId="2BFFA4A8" w14:textId="68A96EAD" w:rsidR="00E6761E" w:rsidRPr="007E412D" w:rsidRDefault="00E6761E" w:rsidP="00143995">
            <w:pPr>
              <w:pStyle w:val="Body"/>
            </w:pPr>
            <w:r w:rsidRPr="007E412D">
              <w:t>Contact details including email</w:t>
            </w:r>
            <w:r>
              <w:t xml:space="preserve">: </w:t>
            </w:r>
            <w:r w:rsidR="00AD7F81">
              <w:t>privacy@techsmith.com</w:t>
            </w:r>
          </w:p>
        </w:tc>
      </w:tr>
      <w:tr w:rsidR="00E6761E" w:rsidRPr="007E412D" w14:paraId="6EC39BE7" w14:textId="77777777" w:rsidTr="00143995">
        <w:tc>
          <w:tcPr>
            <w:tcW w:w="1177" w:type="pct"/>
            <w:tcBorders>
              <w:bottom w:val="single" w:sz="18" w:space="0" w:color="FFC000"/>
            </w:tcBorders>
            <w:shd w:val="clear" w:color="auto" w:fill="FFF9DD"/>
          </w:tcPr>
          <w:p w14:paraId="3F77BCA7" w14:textId="77777777" w:rsidR="00E6761E" w:rsidRPr="007E412D" w:rsidRDefault="00E6761E" w:rsidP="00143995">
            <w:pPr>
              <w:pStyle w:val="Body"/>
              <w:rPr>
                <w:b/>
                <w:bCs/>
                <w:color w:val="003768"/>
              </w:rPr>
            </w:pPr>
            <w:r w:rsidRPr="00AF5D93">
              <w:rPr>
                <w:b/>
                <w:bCs/>
                <w:color w:val="003768"/>
              </w:rPr>
              <w:t xml:space="preserve">Signature (if required for the purposes of Section </w:t>
            </w:r>
            <w:r w:rsidRPr="00AF5D93">
              <w:rPr>
                <w:rFonts w:ascii="Arial" w:hAnsi="Arial" w:cs="Arial"/>
                <w:b/>
                <w:bCs/>
                <w:color w:val="003768"/>
              </w:rPr>
              <w:t>‎</w:t>
            </w:r>
            <w:r w:rsidRPr="00AF5D93">
              <w:rPr>
                <w:b/>
                <w:bCs/>
                <w:color w:val="003768"/>
              </w:rPr>
              <w:t>2)</w:t>
            </w:r>
          </w:p>
        </w:tc>
        <w:tc>
          <w:tcPr>
            <w:tcW w:w="1911" w:type="pct"/>
            <w:tcBorders>
              <w:bottom w:val="single" w:sz="18" w:space="0" w:color="FFC000"/>
            </w:tcBorders>
          </w:tcPr>
          <w:p w14:paraId="6F8D1CC5" w14:textId="77777777" w:rsidR="00E6761E" w:rsidRPr="007E412D" w:rsidRDefault="00E6761E" w:rsidP="00143995">
            <w:pPr>
              <w:pStyle w:val="Body"/>
            </w:pPr>
          </w:p>
        </w:tc>
        <w:tc>
          <w:tcPr>
            <w:tcW w:w="1912" w:type="pct"/>
            <w:tcBorders>
              <w:bottom w:val="single" w:sz="18" w:space="0" w:color="FFC000"/>
            </w:tcBorders>
          </w:tcPr>
          <w:p w14:paraId="1395A40F" w14:textId="77777777" w:rsidR="00E6761E" w:rsidRPr="007E412D" w:rsidRDefault="00E6761E" w:rsidP="00143995">
            <w:pPr>
              <w:pStyle w:val="Body"/>
            </w:pPr>
          </w:p>
        </w:tc>
      </w:tr>
    </w:tbl>
    <w:p w14:paraId="6140DF8E" w14:textId="16401325" w:rsidR="00E6761E" w:rsidRDefault="007D19BC" w:rsidP="00E6761E">
      <w:pPr>
        <w:pStyle w:val="Heading3"/>
        <w:jc w:val="both"/>
      </w:pPr>
      <w:r>
        <w:t xml:space="preserve">Table </w:t>
      </w:r>
      <w:r w:rsidR="00E6761E" w:rsidRPr="001F67AB">
        <w:t xml:space="preserve">2: </w:t>
      </w:r>
      <w:r w:rsidR="00E6761E" w:rsidRPr="009C5E66">
        <w:t>Selected SCCs, Modules and Selected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19"/>
        <w:gridCol w:w="6899"/>
      </w:tblGrid>
      <w:tr w:rsidR="00E6761E" w:rsidRPr="00D20385" w14:paraId="6D2FAD19" w14:textId="77777777" w:rsidTr="00AD536D">
        <w:tc>
          <w:tcPr>
            <w:tcW w:w="1175" w:type="pct"/>
            <w:shd w:val="clear" w:color="auto" w:fill="FFF9DD"/>
          </w:tcPr>
          <w:p w14:paraId="10CD477F" w14:textId="77777777" w:rsidR="00E6761E" w:rsidRPr="00F93A69" w:rsidRDefault="00E6761E" w:rsidP="00143995">
            <w:pPr>
              <w:pStyle w:val="Body"/>
              <w:rPr>
                <w:b/>
                <w:bCs/>
                <w:color w:val="003768"/>
              </w:rPr>
            </w:pPr>
            <w:r w:rsidRPr="003779F9">
              <w:rPr>
                <w:b/>
                <w:bCs/>
                <w:color w:val="003768"/>
              </w:rPr>
              <w:t>Addendum EU SCCs</w:t>
            </w:r>
          </w:p>
        </w:tc>
        <w:tc>
          <w:tcPr>
            <w:tcW w:w="3825" w:type="pct"/>
          </w:tcPr>
          <w:p w14:paraId="2E3C7EBF" w14:textId="6540AD64" w:rsidR="00E6761E" w:rsidRDefault="00AD7F81" w:rsidP="00143995">
            <w:pPr>
              <w:pStyle w:val="Bodyindent"/>
              <w:rPr>
                <w:rFonts w:eastAsia="Verdana"/>
              </w:rPr>
            </w:pPr>
            <w:r>
              <w:rPr>
                <w:rFonts w:eastAsia="Verdana"/>
              </w:rPr>
              <w:fldChar w:fldCharType="begin">
                <w:ffData>
                  <w:name w:val=""/>
                  <w:enabled/>
                  <w:calcOnExit w:val="0"/>
                  <w:checkBox>
                    <w:size w:val="16"/>
                    <w:default w:val="1"/>
                  </w:checkBox>
                </w:ffData>
              </w:fldChar>
            </w:r>
            <w:r>
              <w:rPr>
                <w:rFonts w:eastAsia="Verdana"/>
              </w:rPr>
              <w:instrText xml:space="preserve"> FORMCHECKBOX </w:instrText>
            </w:r>
            <w:r>
              <w:rPr>
                <w:rFonts w:eastAsia="Verdana"/>
              </w:rPr>
            </w:r>
            <w:r>
              <w:rPr>
                <w:rFonts w:eastAsia="Verdana"/>
              </w:rPr>
              <w:fldChar w:fldCharType="separate"/>
            </w:r>
            <w:r>
              <w:rPr>
                <w:rFonts w:eastAsia="Verdana"/>
              </w:rPr>
              <w:fldChar w:fldCharType="end"/>
            </w:r>
            <w:r w:rsidR="00E6761E">
              <w:rPr>
                <w:rFonts w:eastAsia="Verdana"/>
              </w:rPr>
              <w:t xml:space="preserve"> </w:t>
            </w:r>
            <w:r w:rsidR="00E6761E" w:rsidRPr="00EB64F5">
              <w:rPr>
                <w:rFonts w:eastAsia="Verdana"/>
              </w:rPr>
              <w:t xml:space="preserve">The version of the Approved </w:t>
            </w:r>
            <w:r w:rsidR="00E6761E">
              <w:rPr>
                <w:rFonts w:eastAsia="Verdana"/>
              </w:rPr>
              <w:t xml:space="preserve">EU SCCs </w:t>
            </w:r>
            <w:r w:rsidR="00E6761E" w:rsidRPr="00EB64F5">
              <w:rPr>
                <w:rFonts w:eastAsia="Verdana"/>
              </w:rPr>
              <w:t>which this Addendum is appended to</w:t>
            </w:r>
            <w:r w:rsidR="00E6761E">
              <w:rPr>
                <w:rFonts w:eastAsia="Verdana"/>
              </w:rPr>
              <w:t xml:space="preserve">, detailed below, </w:t>
            </w:r>
            <w:r w:rsidR="00E6761E" w:rsidRPr="00EB64F5">
              <w:rPr>
                <w:rFonts w:eastAsia="Verdana"/>
              </w:rPr>
              <w:t>including the Appendix Information</w:t>
            </w:r>
            <w:r w:rsidR="00E6761E">
              <w:rPr>
                <w:rFonts w:eastAsia="Verdana"/>
              </w:rPr>
              <w:t>:</w:t>
            </w:r>
          </w:p>
          <w:p w14:paraId="61D73449" w14:textId="349809FE" w:rsidR="00E6761E" w:rsidRPr="00E35ED1" w:rsidRDefault="00E6761E" w:rsidP="00143995">
            <w:pPr>
              <w:pStyle w:val="Body"/>
            </w:pPr>
            <w:r w:rsidRPr="00E35ED1">
              <w:t>Date:</w:t>
            </w:r>
            <w:r>
              <w:rPr>
                <w:rFonts w:eastAsia="Verdana"/>
              </w:rPr>
              <w:t xml:space="preserve"> </w:t>
            </w:r>
            <w:r w:rsidR="00AD7F81">
              <w:t>June 18, 2024</w:t>
            </w:r>
          </w:p>
          <w:p w14:paraId="17FDB8A0" w14:textId="77777777" w:rsidR="00E6761E" w:rsidRDefault="00E6761E" w:rsidP="00143995">
            <w:pPr>
              <w:pStyle w:val="Body"/>
            </w:pPr>
            <w:r w:rsidRPr="00E35ED1">
              <w:t>Reference</w:t>
            </w:r>
            <w:r>
              <w:t xml:space="preserve"> (if any)</w:t>
            </w:r>
            <w:r w:rsidRPr="00E35ED1">
              <w:t>:</w:t>
            </w:r>
            <w:r>
              <w:rPr>
                <w:rFonts w:eastAsia="Verdana"/>
              </w:rPr>
              <w:t xml:space="preserve"> </w:t>
            </w:r>
            <w:r w:rsidRPr="001314F2">
              <w:rPr>
                <w:highlight w:val="lightGray"/>
              </w:rP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7BA09F5F" w14:textId="77777777" w:rsidR="00E6761E" w:rsidRDefault="00E6761E" w:rsidP="00143995">
            <w:pPr>
              <w:pStyle w:val="Body"/>
            </w:pPr>
            <w:proofErr w:type="gramStart"/>
            <w:r>
              <w:t>Other</w:t>
            </w:r>
            <w:proofErr w:type="gramEnd"/>
            <w:r>
              <w:t xml:space="preserve"> identifier (if any):</w:t>
            </w:r>
            <w:r>
              <w:rPr>
                <w:rFonts w:eastAsia="Verdana"/>
              </w:rPr>
              <w:t xml:space="preserve"> </w:t>
            </w:r>
            <w:r w:rsidRPr="001314F2">
              <w:rPr>
                <w:highlight w:val="lightGray"/>
              </w:rPr>
              <w:t xml:space="preserve"> </w:t>
            </w:r>
            <w:r w:rsidRPr="001314F2">
              <w:rPr>
                <w:highlight w:val="lightGray"/>
              </w:rPr>
              <w:fldChar w:fldCharType="begin" w:fldLock="1">
                <w:ffData>
                  <w:name w:val=""/>
                  <w:enabled/>
                  <w:calcOnExit w:val="0"/>
                  <w:textInput/>
                </w:ffData>
              </w:fldChar>
            </w:r>
            <w:r w:rsidRPr="001314F2">
              <w:rPr>
                <w:highlight w:val="lightGray"/>
              </w:rPr>
              <w:instrText xml:space="preserve"> FORMTEXT </w:instrText>
            </w:r>
            <w:r w:rsidRPr="001314F2">
              <w:rPr>
                <w:highlight w:val="lightGray"/>
              </w:rPr>
            </w:r>
            <w:r w:rsidRPr="001314F2">
              <w:rPr>
                <w:highlight w:val="lightGray"/>
              </w:rPr>
              <w:fldChar w:fldCharType="separate"/>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noProof/>
                <w:highlight w:val="lightGray"/>
              </w:rPr>
              <w:t> </w:t>
            </w:r>
            <w:r w:rsidRPr="001314F2">
              <w:rPr>
                <w:highlight w:val="lightGray"/>
              </w:rPr>
              <w:fldChar w:fldCharType="end"/>
            </w:r>
          </w:p>
          <w:p w14:paraId="5C0F0A21" w14:textId="77777777" w:rsidR="00E6761E" w:rsidRPr="00E35ED1" w:rsidRDefault="00E6761E" w:rsidP="00143995">
            <w:pPr>
              <w:pStyle w:val="Body"/>
            </w:pPr>
            <w:r>
              <w:t>Or</w:t>
            </w:r>
          </w:p>
          <w:p w14:paraId="48046F53" w14:textId="163B3F9B" w:rsidR="00E6761E" w:rsidRPr="00D20385" w:rsidRDefault="00E6761E" w:rsidP="00143995">
            <w:pPr>
              <w:pStyle w:val="Bodyindent"/>
            </w:pPr>
            <w:r w:rsidRPr="00E35ED1">
              <w:rPr>
                <w:rFonts w:eastAsia="Verdana"/>
              </w:rPr>
              <w:fldChar w:fldCharType="begin" w:fldLock="1">
                <w:ffData>
                  <w:name w:val=""/>
                  <w:enabled/>
                  <w:calcOnExit w:val="0"/>
                  <w:checkBox>
                    <w:size w:val="16"/>
                    <w:default w:val="0"/>
                  </w:checkBox>
                </w:ffData>
              </w:fldChar>
            </w:r>
            <w:r w:rsidRPr="00DA4D68">
              <w:rPr>
                <w:rFonts w:eastAsia="Verdana"/>
              </w:rPr>
              <w:instrText xml:space="preserve"> FORMCHECKBOX </w:instrText>
            </w:r>
            <w:r w:rsidRPr="00E35ED1">
              <w:rPr>
                <w:rFonts w:eastAsia="Verdana"/>
              </w:rPr>
            </w:r>
            <w:r w:rsidRPr="00E35ED1">
              <w:rPr>
                <w:rFonts w:eastAsia="Verdana"/>
              </w:rPr>
              <w:fldChar w:fldCharType="separate"/>
            </w:r>
            <w:r w:rsidRPr="00E35ED1">
              <w:rPr>
                <w:rFonts w:eastAsia="Verdana"/>
              </w:rPr>
              <w:fldChar w:fldCharType="end"/>
            </w:r>
            <w:r>
              <w:rPr>
                <w:rFonts w:eastAsia="Verdana"/>
              </w:rPr>
              <w:t xml:space="preserve"> the Approved EU SCCs, including the Appendix Information</w:t>
            </w:r>
            <w:r w:rsidR="00C26D41">
              <w:rPr>
                <w:rFonts w:eastAsia="Verdana"/>
              </w:rPr>
              <w:t xml:space="preserve"> and with only the </w:t>
            </w:r>
            <w:r w:rsidR="00C26D41" w:rsidRPr="00427966">
              <w:t xml:space="preserve">following </w:t>
            </w:r>
            <w:r w:rsidR="000F1668" w:rsidRPr="00AD536D">
              <w:t>m</w:t>
            </w:r>
            <w:r w:rsidR="00C26D41" w:rsidRPr="00AD536D">
              <w:t>odules</w:t>
            </w:r>
            <w:r w:rsidR="00C26D41" w:rsidRPr="00427966">
              <w:t>, clauses or optional provisions of the Approved EU SCCs</w:t>
            </w:r>
            <w:r w:rsidR="00C26D41">
              <w:t xml:space="preserve"> brought into effect for the purposes of this Addendum:</w:t>
            </w:r>
            <w:r w:rsidR="00C26D41" w:rsidRPr="00427966">
              <w:t xml:space="preserve"> </w:t>
            </w:r>
          </w:p>
        </w:tc>
      </w:tr>
    </w:tbl>
    <w:tbl>
      <w:tblPr>
        <w:tblStyle w:val="TableGrid0"/>
        <w:tblW w:w="9024" w:type="dxa"/>
        <w:tblBorders>
          <w:top w:val="none" w:sz="0" w:space="0" w:color="auto"/>
          <w:left w:val="single" w:sz="4" w:space="0" w:color="FFC000"/>
          <w:bottom w:val="none" w:sz="0" w:space="0" w:color="auto"/>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988"/>
        <w:gridCol w:w="1223"/>
        <w:gridCol w:w="1224"/>
        <w:gridCol w:w="1223"/>
        <w:gridCol w:w="1224"/>
        <w:gridCol w:w="1224"/>
        <w:gridCol w:w="1918"/>
      </w:tblGrid>
      <w:tr w:rsidR="001B339D" w14:paraId="27C8BF57" w14:textId="77777777" w:rsidTr="00A46A94">
        <w:tc>
          <w:tcPr>
            <w:tcW w:w="988" w:type="dxa"/>
            <w:tcBorders>
              <w:top w:val="single" w:sz="4" w:space="0" w:color="FFC000"/>
            </w:tcBorders>
          </w:tcPr>
          <w:p w14:paraId="6BC344DE" w14:textId="77777777" w:rsidR="00E6761E" w:rsidRPr="00C02C8A" w:rsidRDefault="00E6761E" w:rsidP="00C02C8A">
            <w:pPr>
              <w:pStyle w:val="Body"/>
            </w:pPr>
            <w:r w:rsidRPr="00C02C8A">
              <w:t>Module</w:t>
            </w:r>
          </w:p>
        </w:tc>
        <w:tc>
          <w:tcPr>
            <w:tcW w:w="1223" w:type="dxa"/>
            <w:tcBorders>
              <w:top w:val="single" w:sz="4" w:space="0" w:color="FFC000"/>
            </w:tcBorders>
          </w:tcPr>
          <w:p w14:paraId="3D35F807" w14:textId="77777777" w:rsidR="00E6761E" w:rsidRPr="00C02C8A" w:rsidRDefault="00E6761E" w:rsidP="00C02C8A">
            <w:pPr>
              <w:pStyle w:val="Body"/>
            </w:pPr>
            <w:r w:rsidRPr="00C02C8A">
              <w:t>Module in operation</w:t>
            </w:r>
          </w:p>
        </w:tc>
        <w:tc>
          <w:tcPr>
            <w:tcW w:w="1224" w:type="dxa"/>
            <w:tcBorders>
              <w:top w:val="single" w:sz="4" w:space="0" w:color="FFC000"/>
            </w:tcBorders>
          </w:tcPr>
          <w:p w14:paraId="5A78F64A" w14:textId="77777777" w:rsidR="00E6761E" w:rsidRPr="00C02C8A" w:rsidRDefault="00E6761E" w:rsidP="00C02C8A">
            <w:pPr>
              <w:pStyle w:val="Body"/>
            </w:pPr>
            <w:r w:rsidRPr="00C02C8A">
              <w:t>Clause 7 (Docking Clause)</w:t>
            </w:r>
          </w:p>
        </w:tc>
        <w:tc>
          <w:tcPr>
            <w:tcW w:w="1223" w:type="dxa"/>
            <w:tcBorders>
              <w:top w:val="single" w:sz="4" w:space="0" w:color="FFC000"/>
            </w:tcBorders>
          </w:tcPr>
          <w:p w14:paraId="620BF5A0" w14:textId="5376E396" w:rsidR="00E6761E" w:rsidRPr="00C02C8A" w:rsidRDefault="00E6761E" w:rsidP="00A46A94">
            <w:pPr>
              <w:pStyle w:val="Body"/>
            </w:pPr>
            <w:r w:rsidRPr="00C02C8A">
              <w:t xml:space="preserve">Clause 11 </w:t>
            </w:r>
            <w:r w:rsidR="004D10B2">
              <w:br/>
            </w:r>
            <w:r w:rsidR="000C1CE4">
              <w:t>(Option)</w:t>
            </w:r>
          </w:p>
        </w:tc>
        <w:tc>
          <w:tcPr>
            <w:tcW w:w="1224" w:type="dxa"/>
            <w:tcBorders>
              <w:top w:val="single" w:sz="4" w:space="0" w:color="FFC000"/>
            </w:tcBorders>
          </w:tcPr>
          <w:p w14:paraId="7FDAEDB0" w14:textId="77777777" w:rsidR="00E6761E" w:rsidRPr="00C02C8A" w:rsidRDefault="00E6761E" w:rsidP="00C02C8A">
            <w:pPr>
              <w:pStyle w:val="Body"/>
            </w:pPr>
            <w:r w:rsidRPr="00C02C8A">
              <w:t xml:space="preserve">Clause 9a (Prior Authorisation or General </w:t>
            </w:r>
            <w:r w:rsidRPr="00C02C8A">
              <w:lastRenderedPageBreak/>
              <w:t>Authorisation)</w:t>
            </w:r>
          </w:p>
        </w:tc>
        <w:tc>
          <w:tcPr>
            <w:tcW w:w="1224" w:type="dxa"/>
            <w:tcBorders>
              <w:top w:val="single" w:sz="4" w:space="0" w:color="FFC000"/>
            </w:tcBorders>
          </w:tcPr>
          <w:p w14:paraId="0CDD6EBA" w14:textId="77777777" w:rsidR="00E6761E" w:rsidRPr="00C02C8A" w:rsidRDefault="00E6761E" w:rsidP="00C02C8A">
            <w:pPr>
              <w:pStyle w:val="Body"/>
            </w:pPr>
            <w:r w:rsidRPr="00C02C8A">
              <w:lastRenderedPageBreak/>
              <w:t>Clause 9a (Time period)</w:t>
            </w:r>
          </w:p>
        </w:tc>
        <w:tc>
          <w:tcPr>
            <w:tcW w:w="1918" w:type="dxa"/>
            <w:tcBorders>
              <w:top w:val="single" w:sz="4" w:space="0" w:color="FFC000"/>
            </w:tcBorders>
          </w:tcPr>
          <w:p w14:paraId="25ED9DBA" w14:textId="77777777" w:rsidR="00E6761E" w:rsidRPr="00C02C8A" w:rsidRDefault="00E6761E" w:rsidP="00C02C8A">
            <w:pPr>
              <w:pStyle w:val="Body"/>
            </w:pPr>
            <w:r w:rsidRPr="00C02C8A">
              <w:t xml:space="preserve">Is personal data received from the Importer combined with personal data </w:t>
            </w:r>
            <w:r w:rsidRPr="00C02C8A">
              <w:lastRenderedPageBreak/>
              <w:t>collected by the Exporter?</w:t>
            </w:r>
          </w:p>
        </w:tc>
      </w:tr>
      <w:tr w:rsidR="00E6761E" w14:paraId="3DF5D2C0" w14:textId="77777777" w:rsidTr="0032248C">
        <w:tc>
          <w:tcPr>
            <w:tcW w:w="988" w:type="dxa"/>
          </w:tcPr>
          <w:p w14:paraId="5B612D1E" w14:textId="77777777" w:rsidR="00E6761E" w:rsidRDefault="00E6761E" w:rsidP="00143995">
            <w:pPr>
              <w:pStyle w:val="Body"/>
              <w:jc w:val="center"/>
            </w:pPr>
            <w:r>
              <w:lastRenderedPageBreak/>
              <w:t>1</w:t>
            </w:r>
          </w:p>
        </w:tc>
        <w:tc>
          <w:tcPr>
            <w:tcW w:w="1223" w:type="dxa"/>
          </w:tcPr>
          <w:p w14:paraId="3A0CC0CC" w14:textId="77777777" w:rsidR="00E6761E" w:rsidRPr="00C02C8A" w:rsidRDefault="00E6761E" w:rsidP="00C02C8A">
            <w:pPr>
              <w:pStyle w:val="Body"/>
            </w:pPr>
          </w:p>
        </w:tc>
        <w:tc>
          <w:tcPr>
            <w:tcW w:w="1224" w:type="dxa"/>
          </w:tcPr>
          <w:p w14:paraId="164D3757" w14:textId="77777777" w:rsidR="00E6761E" w:rsidRPr="00C02C8A" w:rsidRDefault="00E6761E" w:rsidP="00C02C8A">
            <w:pPr>
              <w:pStyle w:val="Body"/>
            </w:pPr>
          </w:p>
        </w:tc>
        <w:tc>
          <w:tcPr>
            <w:tcW w:w="1223" w:type="dxa"/>
          </w:tcPr>
          <w:p w14:paraId="2B50C74B" w14:textId="77777777" w:rsidR="00E6761E" w:rsidRPr="00C02C8A" w:rsidRDefault="00E6761E" w:rsidP="00C02C8A">
            <w:pPr>
              <w:pStyle w:val="Body"/>
            </w:pPr>
          </w:p>
        </w:tc>
        <w:tc>
          <w:tcPr>
            <w:tcW w:w="1224" w:type="dxa"/>
            <w:shd w:val="clear" w:color="auto" w:fill="FFF0A9"/>
          </w:tcPr>
          <w:p w14:paraId="54FA550C" w14:textId="77777777" w:rsidR="00E6761E" w:rsidRPr="00C02C8A" w:rsidRDefault="00E6761E" w:rsidP="00C02C8A">
            <w:pPr>
              <w:pStyle w:val="Body"/>
            </w:pPr>
          </w:p>
        </w:tc>
        <w:tc>
          <w:tcPr>
            <w:tcW w:w="1224" w:type="dxa"/>
            <w:shd w:val="clear" w:color="auto" w:fill="FFF0A9"/>
          </w:tcPr>
          <w:p w14:paraId="229D8E2B" w14:textId="77777777" w:rsidR="00E6761E" w:rsidRPr="00C02C8A" w:rsidRDefault="00E6761E" w:rsidP="00C02C8A">
            <w:pPr>
              <w:pStyle w:val="Body"/>
            </w:pPr>
          </w:p>
        </w:tc>
        <w:tc>
          <w:tcPr>
            <w:tcW w:w="1918" w:type="dxa"/>
            <w:shd w:val="clear" w:color="auto" w:fill="FFF0A9"/>
          </w:tcPr>
          <w:p w14:paraId="1163D52D" w14:textId="77777777" w:rsidR="00E6761E" w:rsidRPr="00C02C8A" w:rsidRDefault="00E6761E" w:rsidP="00C02C8A">
            <w:pPr>
              <w:pStyle w:val="Body"/>
            </w:pPr>
          </w:p>
        </w:tc>
      </w:tr>
      <w:tr w:rsidR="00E6761E" w14:paraId="162554B3" w14:textId="77777777" w:rsidTr="0032248C">
        <w:tc>
          <w:tcPr>
            <w:tcW w:w="988" w:type="dxa"/>
          </w:tcPr>
          <w:p w14:paraId="1AA2DA75" w14:textId="77777777" w:rsidR="00E6761E" w:rsidRDefault="00E6761E" w:rsidP="00143995">
            <w:pPr>
              <w:pStyle w:val="Body"/>
              <w:jc w:val="center"/>
            </w:pPr>
            <w:r>
              <w:t>2</w:t>
            </w:r>
          </w:p>
        </w:tc>
        <w:tc>
          <w:tcPr>
            <w:tcW w:w="1223" w:type="dxa"/>
          </w:tcPr>
          <w:p w14:paraId="74A371A6" w14:textId="77777777" w:rsidR="00E6761E" w:rsidRPr="00C02C8A" w:rsidRDefault="00E6761E" w:rsidP="00C02C8A">
            <w:pPr>
              <w:pStyle w:val="Body"/>
            </w:pPr>
          </w:p>
        </w:tc>
        <w:tc>
          <w:tcPr>
            <w:tcW w:w="1224" w:type="dxa"/>
          </w:tcPr>
          <w:p w14:paraId="3D4BE185" w14:textId="77777777" w:rsidR="00E6761E" w:rsidRPr="00C02C8A" w:rsidRDefault="00E6761E" w:rsidP="00C02C8A">
            <w:pPr>
              <w:pStyle w:val="Body"/>
            </w:pPr>
          </w:p>
        </w:tc>
        <w:tc>
          <w:tcPr>
            <w:tcW w:w="1223" w:type="dxa"/>
          </w:tcPr>
          <w:p w14:paraId="23177AAB" w14:textId="77777777" w:rsidR="00E6761E" w:rsidRPr="00C02C8A" w:rsidRDefault="00E6761E" w:rsidP="00C02C8A">
            <w:pPr>
              <w:pStyle w:val="Body"/>
            </w:pPr>
          </w:p>
        </w:tc>
        <w:tc>
          <w:tcPr>
            <w:tcW w:w="1224" w:type="dxa"/>
          </w:tcPr>
          <w:p w14:paraId="56C9B34F" w14:textId="77777777" w:rsidR="00E6761E" w:rsidRPr="00C02C8A" w:rsidRDefault="00E6761E" w:rsidP="00C02C8A">
            <w:pPr>
              <w:pStyle w:val="Body"/>
            </w:pPr>
          </w:p>
        </w:tc>
        <w:tc>
          <w:tcPr>
            <w:tcW w:w="1224" w:type="dxa"/>
          </w:tcPr>
          <w:p w14:paraId="12F0B897" w14:textId="77777777" w:rsidR="00E6761E" w:rsidRPr="00C02C8A" w:rsidRDefault="00E6761E" w:rsidP="00C02C8A">
            <w:pPr>
              <w:pStyle w:val="Body"/>
            </w:pPr>
          </w:p>
        </w:tc>
        <w:tc>
          <w:tcPr>
            <w:tcW w:w="1918" w:type="dxa"/>
            <w:shd w:val="clear" w:color="auto" w:fill="FFF0A9"/>
          </w:tcPr>
          <w:p w14:paraId="37E638FF" w14:textId="77777777" w:rsidR="00E6761E" w:rsidRPr="00C02C8A" w:rsidRDefault="00E6761E" w:rsidP="00C02C8A">
            <w:pPr>
              <w:pStyle w:val="Body"/>
            </w:pPr>
          </w:p>
        </w:tc>
      </w:tr>
      <w:tr w:rsidR="00E6761E" w14:paraId="67A1BEBA" w14:textId="77777777" w:rsidTr="0032248C">
        <w:tc>
          <w:tcPr>
            <w:tcW w:w="988" w:type="dxa"/>
          </w:tcPr>
          <w:p w14:paraId="312F0423" w14:textId="77777777" w:rsidR="00E6761E" w:rsidRDefault="00E6761E" w:rsidP="00143995">
            <w:pPr>
              <w:pStyle w:val="Body"/>
              <w:jc w:val="center"/>
            </w:pPr>
            <w:r>
              <w:t>3</w:t>
            </w:r>
          </w:p>
        </w:tc>
        <w:tc>
          <w:tcPr>
            <w:tcW w:w="1223" w:type="dxa"/>
          </w:tcPr>
          <w:p w14:paraId="73BE7386" w14:textId="77777777" w:rsidR="00E6761E" w:rsidRPr="00C02C8A" w:rsidRDefault="00E6761E" w:rsidP="00C02C8A">
            <w:pPr>
              <w:pStyle w:val="Body"/>
            </w:pPr>
          </w:p>
        </w:tc>
        <w:tc>
          <w:tcPr>
            <w:tcW w:w="1224" w:type="dxa"/>
          </w:tcPr>
          <w:p w14:paraId="6C62E073" w14:textId="77777777" w:rsidR="00E6761E" w:rsidRPr="00C02C8A" w:rsidRDefault="00E6761E" w:rsidP="00C02C8A">
            <w:pPr>
              <w:pStyle w:val="Body"/>
            </w:pPr>
          </w:p>
        </w:tc>
        <w:tc>
          <w:tcPr>
            <w:tcW w:w="1223" w:type="dxa"/>
          </w:tcPr>
          <w:p w14:paraId="284996E3" w14:textId="77777777" w:rsidR="00E6761E" w:rsidRPr="00C02C8A" w:rsidRDefault="00E6761E" w:rsidP="00C02C8A">
            <w:pPr>
              <w:pStyle w:val="Body"/>
            </w:pPr>
          </w:p>
        </w:tc>
        <w:tc>
          <w:tcPr>
            <w:tcW w:w="1224" w:type="dxa"/>
          </w:tcPr>
          <w:p w14:paraId="2A2E46BA" w14:textId="77777777" w:rsidR="00E6761E" w:rsidRPr="00C02C8A" w:rsidRDefault="00E6761E" w:rsidP="00C02C8A">
            <w:pPr>
              <w:pStyle w:val="Body"/>
            </w:pPr>
          </w:p>
        </w:tc>
        <w:tc>
          <w:tcPr>
            <w:tcW w:w="1224" w:type="dxa"/>
          </w:tcPr>
          <w:p w14:paraId="4C5C1341" w14:textId="77777777" w:rsidR="00E6761E" w:rsidRPr="00C02C8A" w:rsidRDefault="00E6761E" w:rsidP="00C02C8A">
            <w:pPr>
              <w:pStyle w:val="Body"/>
            </w:pPr>
          </w:p>
        </w:tc>
        <w:tc>
          <w:tcPr>
            <w:tcW w:w="1918" w:type="dxa"/>
            <w:shd w:val="clear" w:color="auto" w:fill="FFF0A9"/>
          </w:tcPr>
          <w:p w14:paraId="035B7B9C" w14:textId="77777777" w:rsidR="00E6761E" w:rsidRPr="00C02C8A" w:rsidRDefault="00E6761E" w:rsidP="00C02C8A">
            <w:pPr>
              <w:pStyle w:val="Body"/>
            </w:pPr>
          </w:p>
        </w:tc>
      </w:tr>
      <w:tr w:rsidR="00A50CEA" w14:paraId="6C3B9940" w14:textId="77777777" w:rsidTr="0032248C">
        <w:tc>
          <w:tcPr>
            <w:tcW w:w="988" w:type="dxa"/>
            <w:tcBorders>
              <w:bottom w:val="single" w:sz="18" w:space="0" w:color="FFC000"/>
            </w:tcBorders>
          </w:tcPr>
          <w:p w14:paraId="431EC21B" w14:textId="77777777" w:rsidR="00E6761E" w:rsidRDefault="00E6761E" w:rsidP="00143995">
            <w:pPr>
              <w:pStyle w:val="Body"/>
              <w:jc w:val="center"/>
            </w:pPr>
            <w:r>
              <w:t>4</w:t>
            </w:r>
          </w:p>
        </w:tc>
        <w:tc>
          <w:tcPr>
            <w:tcW w:w="1223" w:type="dxa"/>
            <w:tcBorders>
              <w:bottom w:val="single" w:sz="18" w:space="0" w:color="FFC000"/>
            </w:tcBorders>
          </w:tcPr>
          <w:p w14:paraId="0E096C2A" w14:textId="77777777" w:rsidR="00E6761E" w:rsidRDefault="00E6761E" w:rsidP="00143995">
            <w:pPr>
              <w:pStyle w:val="Body"/>
            </w:pPr>
          </w:p>
        </w:tc>
        <w:tc>
          <w:tcPr>
            <w:tcW w:w="1224" w:type="dxa"/>
            <w:tcBorders>
              <w:bottom w:val="single" w:sz="18" w:space="0" w:color="FFC000"/>
            </w:tcBorders>
          </w:tcPr>
          <w:p w14:paraId="1A873F62" w14:textId="77777777" w:rsidR="00E6761E" w:rsidRDefault="00E6761E" w:rsidP="00143995">
            <w:pPr>
              <w:pStyle w:val="Body"/>
            </w:pPr>
          </w:p>
        </w:tc>
        <w:tc>
          <w:tcPr>
            <w:tcW w:w="1223" w:type="dxa"/>
            <w:tcBorders>
              <w:bottom w:val="single" w:sz="18" w:space="0" w:color="FFC000"/>
            </w:tcBorders>
          </w:tcPr>
          <w:p w14:paraId="519747F3" w14:textId="77777777" w:rsidR="00E6761E" w:rsidRDefault="00E6761E" w:rsidP="00143995">
            <w:pPr>
              <w:pStyle w:val="Body"/>
            </w:pPr>
          </w:p>
        </w:tc>
        <w:tc>
          <w:tcPr>
            <w:tcW w:w="1224" w:type="dxa"/>
            <w:tcBorders>
              <w:bottom w:val="single" w:sz="18" w:space="0" w:color="FFC000"/>
            </w:tcBorders>
            <w:shd w:val="clear" w:color="auto" w:fill="FFF0A9"/>
          </w:tcPr>
          <w:p w14:paraId="33B01BB5" w14:textId="77777777" w:rsidR="00E6761E" w:rsidRDefault="00E6761E" w:rsidP="00143995">
            <w:pPr>
              <w:pStyle w:val="Body"/>
            </w:pPr>
          </w:p>
        </w:tc>
        <w:tc>
          <w:tcPr>
            <w:tcW w:w="1224" w:type="dxa"/>
            <w:tcBorders>
              <w:bottom w:val="single" w:sz="18" w:space="0" w:color="FFC000"/>
            </w:tcBorders>
            <w:shd w:val="clear" w:color="auto" w:fill="FFF0A9"/>
          </w:tcPr>
          <w:p w14:paraId="0623ADD9" w14:textId="77777777" w:rsidR="00E6761E" w:rsidRDefault="00E6761E" w:rsidP="00143995">
            <w:pPr>
              <w:pStyle w:val="Body"/>
            </w:pPr>
          </w:p>
        </w:tc>
        <w:tc>
          <w:tcPr>
            <w:tcW w:w="1918" w:type="dxa"/>
            <w:tcBorders>
              <w:bottom w:val="single" w:sz="18" w:space="0" w:color="FFC000"/>
            </w:tcBorders>
          </w:tcPr>
          <w:p w14:paraId="21D10F10" w14:textId="77777777" w:rsidR="00E6761E" w:rsidRDefault="00E6761E" w:rsidP="00143995">
            <w:pPr>
              <w:pStyle w:val="Body"/>
            </w:pPr>
          </w:p>
        </w:tc>
      </w:tr>
    </w:tbl>
    <w:p w14:paraId="45730E2E" w14:textId="3043ADE8" w:rsidR="00E6761E" w:rsidRDefault="001C20E9" w:rsidP="00E6761E">
      <w:pPr>
        <w:pStyle w:val="Heading3"/>
        <w:jc w:val="both"/>
      </w:pPr>
      <w:r>
        <w:t xml:space="preserve">Table </w:t>
      </w:r>
      <w:r w:rsidR="00E6761E">
        <w:t>3</w:t>
      </w:r>
      <w:r w:rsidR="00E6761E" w:rsidRPr="001F67AB">
        <w:t xml:space="preserve">: </w:t>
      </w:r>
      <w:r w:rsidR="00E6761E" w:rsidRPr="001B5132">
        <w:t>Appendix Information</w:t>
      </w:r>
    </w:p>
    <w:p w14:paraId="69F3E422" w14:textId="1F151539" w:rsidR="00E6761E" w:rsidRDefault="00E6761E" w:rsidP="00E6761E">
      <w:r w:rsidRPr="00C021F5">
        <w:t>“</w:t>
      </w:r>
      <w:r w:rsidRPr="00113FF6">
        <w:rPr>
          <w:b/>
          <w:bCs/>
        </w:rPr>
        <w:t>Appendix Information</w:t>
      </w:r>
      <w:r w:rsidRPr="00C021F5">
        <w:t xml:space="preserve">” means the information which must be provided for the </w:t>
      </w:r>
      <w:r w:rsidR="000F1668" w:rsidRPr="00AD536D">
        <w:t>s</w:t>
      </w:r>
      <w:r w:rsidRPr="00AD536D">
        <w:t xml:space="preserve">elected </w:t>
      </w:r>
      <w:r w:rsidR="000F1668" w:rsidRPr="00AD536D">
        <w:t>m</w:t>
      </w:r>
      <w:r w:rsidRPr="00AD536D">
        <w:t>odules</w:t>
      </w:r>
      <w:r w:rsidRPr="00C021F5">
        <w:t xml:space="preserve"> as set out in the Appendix of the Approved EU SCCs (other than the Parties), and which for this Addendum is set out in:</w:t>
      </w:r>
    </w:p>
    <w:tbl>
      <w:tblPr>
        <w:tblStyle w:val="TableGrid0"/>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9017"/>
      </w:tblGrid>
      <w:tr w:rsidR="00E6761E" w14:paraId="2DB88D90" w14:textId="77777777" w:rsidTr="00143995">
        <w:tc>
          <w:tcPr>
            <w:tcW w:w="9017" w:type="dxa"/>
          </w:tcPr>
          <w:p w14:paraId="3D6810C0" w14:textId="77777777" w:rsidR="00E6761E" w:rsidRDefault="00E6761E" w:rsidP="00E6761E">
            <w:pPr>
              <w:pStyle w:val="Body"/>
            </w:pPr>
            <w:r w:rsidRPr="00E6761E">
              <w:t xml:space="preserve">Annex 1A: </w:t>
            </w:r>
            <w:r w:rsidR="00766BD9">
              <w:t xml:space="preserve">List of </w:t>
            </w:r>
            <w:r w:rsidRPr="00E6761E">
              <w:t>Parties</w:t>
            </w:r>
            <w:r w:rsidR="00C26D41">
              <w:t xml:space="preserve">: </w:t>
            </w:r>
          </w:p>
          <w:p w14:paraId="6B12A2EF" w14:textId="77777777" w:rsidR="00AD7F81" w:rsidRDefault="00AD7F81" w:rsidP="00E6761E">
            <w:pPr>
              <w:pStyle w:val="Body"/>
            </w:pPr>
            <w:r w:rsidRPr="00AD7F81">
              <w:t xml:space="preserve">Data exporter(s): [Identity and contact details of the data importer(s), including any contact person with responsibility for data protection] </w:t>
            </w:r>
          </w:p>
          <w:p w14:paraId="674B13EB" w14:textId="77777777" w:rsidR="00AD7F81" w:rsidRDefault="00AD7F81" w:rsidP="00E6761E">
            <w:pPr>
              <w:pStyle w:val="Body"/>
            </w:pPr>
            <w:r w:rsidRPr="00AD7F81">
              <w:t xml:space="preserve">Name: </w:t>
            </w:r>
          </w:p>
          <w:p w14:paraId="547F84F7" w14:textId="77777777" w:rsidR="00AD7F81" w:rsidRDefault="00AD7F81" w:rsidP="00E6761E">
            <w:pPr>
              <w:pStyle w:val="Body"/>
            </w:pPr>
            <w:r w:rsidRPr="00AD7F81">
              <w:t xml:space="preserve">Address: </w:t>
            </w:r>
          </w:p>
          <w:p w14:paraId="5E49E10F" w14:textId="77777777" w:rsidR="00AD7F81" w:rsidRDefault="00AD7F81" w:rsidP="00E6761E">
            <w:pPr>
              <w:pStyle w:val="Body"/>
            </w:pPr>
            <w:r w:rsidRPr="00AD7F81">
              <w:t xml:space="preserve">Contact person’s name, position and contact details: </w:t>
            </w:r>
          </w:p>
          <w:p w14:paraId="2273A382" w14:textId="77777777" w:rsidR="00AD7F81" w:rsidRDefault="00AD7F81" w:rsidP="00E6761E">
            <w:pPr>
              <w:pStyle w:val="Body"/>
            </w:pPr>
            <w:r w:rsidRPr="00AD7F81">
              <w:t xml:space="preserve">Activities relevant to the data transferred under these Clauses: </w:t>
            </w:r>
          </w:p>
          <w:p w14:paraId="4AD921FF" w14:textId="77777777" w:rsidR="00AD7F81" w:rsidRDefault="00AD7F81" w:rsidP="00E6761E">
            <w:pPr>
              <w:pStyle w:val="Body"/>
            </w:pPr>
            <w:r w:rsidRPr="00AD7F81">
              <w:t>Role (controller/processor):</w:t>
            </w:r>
          </w:p>
          <w:p w14:paraId="36F47F07" w14:textId="77777777" w:rsidR="00AD7F81" w:rsidRDefault="00AD7F81" w:rsidP="00E6761E">
            <w:pPr>
              <w:pStyle w:val="Body"/>
            </w:pPr>
            <w:r w:rsidRPr="00AD7F81">
              <w:t xml:space="preserve">2. Controller </w:t>
            </w:r>
          </w:p>
          <w:p w14:paraId="65A281D1" w14:textId="77777777" w:rsidR="00AD7F81" w:rsidRDefault="00AD7F81" w:rsidP="00E6761E">
            <w:pPr>
              <w:pStyle w:val="Body"/>
            </w:pPr>
            <w:r w:rsidRPr="00AD7F81">
              <w:t xml:space="preserve">Data importer(s): [Identity and contact details of the data importer(s), including any contact person with responsibility for data protection] </w:t>
            </w:r>
          </w:p>
          <w:p w14:paraId="126B3F54" w14:textId="77777777" w:rsidR="00AD7F81" w:rsidRDefault="00AD7F81" w:rsidP="00E6761E">
            <w:pPr>
              <w:pStyle w:val="Body"/>
            </w:pPr>
            <w:r w:rsidRPr="00AD7F81">
              <w:t xml:space="preserve">Name: TechSmith Corporation </w:t>
            </w:r>
          </w:p>
          <w:p w14:paraId="5A00F1A8" w14:textId="77777777" w:rsidR="00AD7F81" w:rsidRDefault="00AD7F81" w:rsidP="00E6761E">
            <w:pPr>
              <w:pStyle w:val="Body"/>
            </w:pPr>
            <w:r w:rsidRPr="00AD7F81">
              <w:t xml:space="preserve">Address: 14 Crescent Road, East Lansing, MI, 48823 United States </w:t>
            </w:r>
          </w:p>
          <w:p w14:paraId="12BC2833" w14:textId="2D4FF88D" w:rsidR="00AD7F81" w:rsidRDefault="00AD7F81" w:rsidP="00E6761E">
            <w:pPr>
              <w:pStyle w:val="Body"/>
            </w:pPr>
            <w:r w:rsidRPr="00AD7F81">
              <w:t xml:space="preserve">Contact person’s name, position and contact details: </w:t>
            </w:r>
            <w:r w:rsidR="009E39F4">
              <w:t>Jess Lancaster</w:t>
            </w:r>
            <w:r w:rsidRPr="00AD7F81">
              <w:t xml:space="preserve">, </w:t>
            </w:r>
            <w:r w:rsidR="009E39F4">
              <w:t>Director of Engineering Quality and Compliance</w:t>
            </w:r>
            <w:r w:rsidRPr="00AD7F81">
              <w:t xml:space="preserve">, 14 Crescent Road, East Lansing, MI, 48823 United States  </w:t>
            </w:r>
          </w:p>
          <w:p w14:paraId="6C96859D" w14:textId="77777777" w:rsidR="00AD7F81" w:rsidRDefault="00AD7F81" w:rsidP="00E6761E">
            <w:pPr>
              <w:pStyle w:val="Body"/>
            </w:pPr>
            <w:r w:rsidRPr="00AD7F81">
              <w:t xml:space="preserve">Activities relevant to the data transferred under these Clauses: </w:t>
            </w:r>
          </w:p>
          <w:p w14:paraId="4F1AB0F1" w14:textId="77777777" w:rsidR="009E39F4" w:rsidRDefault="00AD7F81" w:rsidP="00E6761E">
            <w:pPr>
              <w:pStyle w:val="Body"/>
            </w:pPr>
            <w:r w:rsidRPr="00AD7F81">
              <w:t>The Data Exporter is a customer or other user of the Data Importer’s software, services, systems and/or technologies. TechSmith Corporation is the Data Importer. TechSmith’s screen capture software and solutions allow end users to create and share images and videos for better training, tutorials, lessons, and everyday communication.</w:t>
            </w:r>
          </w:p>
          <w:p w14:paraId="6036B487" w14:textId="4E02F27B" w:rsidR="00AD7F81" w:rsidRPr="00E6761E" w:rsidRDefault="00AD7F81" w:rsidP="00E6761E">
            <w:pPr>
              <w:pStyle w:val="Body"/>
            </w:pPr>
            <w:r w:rsidRPr="00AD7F81">
              <w:lastRenderedPageBreak/>
              <w:t>Role (controller/processor): 2. Processor</w:t>
            </w:r>
          </w:p>
        </w:tc>
      </w:tr>
      <w:tr w:rsidR="00E6761E" w14:paraId="6B727A24" w14:textId="77777777" w:rsidTr="00143995">
        <w:tc>
          <w:tcPr>
            <w:tcW w:w="9017" w:type="dxa"/>
          </w:tcPr>
          <w:p w14:paraId="6EB7432A" w14:textId="77777777" w:rsidR="00E6761E" w:rsidRDefault="00E6761E" w:rsidP="00E6761E">
            <w:pPr>
              <w:pStyle w:val="Body"/>
            </w:pPr>
            <w:r w:rsidRPr="00E6761E">
              <w:lastRenderedPageBreak/>
              <w:t>Annex 1B: Description of Transfer</w:t>
            </w:r>
            <w:r w:rsidR="00C26D41">
              <w:t xml:space="preserve">: </w:t>
            </w:r>
          </w:p>
          <w:p w14:paraId="48B2C8C5" w14:textId="77777777" w:rsidR="009E39F4" w:rsidRPr="009E39F4" w:rsidRDefault="009E39F4" w:rsidP="00E6761E">
            <w:pPr>
              <w:pStyle w:val="Body"/>
              <w:rPr>
                <w:b/>
                <w:bCs/>
              </w:rPr>
            </w:pPr>
            <w:r w:rsidRPr="009E39F4">
              <w:rPr>
                <w:b/>
                <w:bCs/>
              </w:rPr>
              <w:t xml:space="preserve">Categories of data subjects whose personal data is transferred </w:t>
            </w:r>
          </w:p>
          <w:p w14:paraId="48C69EA1" w14:textId="3740B6D5" w:rsidR="009E39F4" w:rsidRDefault="009E39F4" w:rsidP="00E6761E">
            <w:pPr>
              <w:pStyle w:val="Body"/>
            </w:pPr>
            <w:r w:rsidRPr="009E39F4">
              <w:t xml:space="preserve">Data subjects include individuals, selected by Data Exporter, who (1) may be included in an image or video capture or (2) may comment or otherwise participate in a review of an image or video capture. This includes, but is not limited to, individuals about whom data is provided to the Data Importer by the Data Exporter’s end users, including, without limitation, Data Controller’s employees, consultants, contractors, agents, reviewers, and end users. </w:t>
            </w:r>
          </w:p>
          <w:p w14:paraId="44A20C02" w14:textId="77777777" w:rsidR="009E39F4" w:rsidRDefault="009E39F4" w:rsidP="00E6761E">
            <w:pPr>
              <w:pStyle w:val="Body"/>
            </w:pPr>
          </w:p>
          <w:p w14:paraId="0BB94871" w14:textId="77777777" w:rsidR="009E39F4" w:rsidRPr="009E39F4" w:rsidRDefault="009E39F4" w:rsidP="00E6761E">
            <w:pPr>
              <w:pStyle w:val="Body"/>
              <w:rPr>
                <w:b/>
                <w:bCs/>
              </w:rPr>
            </w:pPr>
            <w:r w:rsidRPr="009E39F4">
              <w:rPr>
                <w:b/>
                <w:bCs/>
              </w:rPr>
              <w:t xml:space="preserve">Categories of personal data transferred </w:t>
            </w:r>
          </w:p>
          <w:p w14:paraId="200AE7DC" w14:textId="0DCCFAAC" w:rsidR="009E39F4" w:rsidRDefault="009E39F4" w:rsidP="00E6761E">
            <w:pPr>
              <w:pStyle w:val="Body"/>
            </w:pPr>
            <w:r w:rsidRPr="009E39F4">
              <w:t xml:space="preserve">Any personal data captured in images, video, associated audio, and comments in any form that may be supplied by the Data Exporter or captured by the Data Importer’s services and products on behalf of the Data Exporter. </w:t>
            </w:r>
          </w:p>
          <w:p w14:paraId="42FF74D3" w14:textId="77777777" w:rsidR="009E39F4" w:rsidRDefault="009E39F4" w:rsidP="00E6761E">
            <w:pPr>
              <w:pStyle w:val="Body"/>
            </w:pPr>
            <w:r w:rsidRPr="009E39F4">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 </w:t>
            </w:r>
          </w:p>
          <w:p w14:paraId="723AA2B5" w14:textId="4E80EC8B" w:rsidR="009E39F4" w:rsidRDefault="009E39F4" w:rsidP="00E6761E">
            <w:pPr>
              <w:pStyle w:val="Body"/>
            </w:pPr>
            <w:r w:rsidRPr="009E39F4">
              <w:t xml:space="preserve">Special categories of data may be provided by Data Importer to Data Exporter at the Data Importers discretion through the captured in images, video, associated audio, and comments in any form. </w:t>
            </w:r>
          </w:p>
          <w:p w14:paraId="1263C232" w14:textId="77777777" w:rsidR="009E39F4" w:rsidRDefault="009E39F4" w:rsidP="00E6761E">
            <w:pPr>
              <w:pStyle w:val="Body"/>
            </w:pPr>
          </w:p>
          <w:p w14:paraId="13025E2A" w14:textId="77777777" w:rsidR="009E39F4" w:rsidRPr="009E39F4" w:rsidRDefault="009E39F4" w:rsidP="00E6761E">
            <w:pPr>
              <w:pStyle w:val="Body"/>
              <w:rPr>
                <w:b/>
                <w:bCs/>
              </w:rPr>
            </w:pPr>
            <w:r w:rsidRPr="009E39F4">
              <w:rPr>
                <w:b/>
                <w:bCs/>
              </w:rPr>
              <w:t xml:space="preserve">The frequency of the transfer </w:t>
            </w:r>
          </w:p>
          <w:p w14:paraId="50C85710" w14:textId="5E1CD41E" w:rsidR="009E39F4" w:rsidRDefault="009E39F4" w:rsidP="00E6761E">
            <w:pPr>
              <w:pStyle w:val="Body"/>
            </w:pPr>
            <w:r w:rsidRPr="009E39F4">
              <w:t xml:space="preserve">(e.g. whether the data is transferred on a </w:t>
            </w:r>
            <w:r w:rsidRPr="009E39F4">
              <w:t>one-off</w:t>
            </w:r>
            <w:r w:rsidRPr="009E39F4">
              <w:t xml:space="preserve"> or continuous basis). </w:t>
            </w:r>
          </w:p>
          <w:p w14:paraId="548C7117" w14:textId="77777777" w:rsidR="009E39F4" w:rsidRDefault="009E39F4" w:rsidP="00E6761E">
            <w:pPr>
              <w:pStyle w:val="Body"/>
            </w:pPr>
            <w:r w:rsidRPr="009E39F4">
              <w:t>Data transfers occur on a frequency determined by the Data Exporter.</w:t>
            </w:r>
          </w:p>
          <w:p w14:paraId="53879E3E" w14:textId="77777777" w:rsidR="009E39F4" w:rsidRDefault="009E39F4" w:rsidP="00E6761E">
            <w:pPr>
              <w:pStyle w:val="Body"/>
            </w:pPr>
          </w:p>
          <w:p w14:paraId="299BAC33" w14:textId="77777777" w:rsidR="009E39F4" w:rsidRPr="009E39F4" w:rsidRDefault="009E39F4" w:rsidP="00E6761E">
            <w:pPr>
              <w:pStyle w:val="Body"/>
              <w:rPr>
                <w:b/>
                <w:bCs/>
              </w:rPr>
            </w:pPr>
            <w:r w:rsidRPr="009E39F4">
              <w:rPr>
                <w:b/>
                <w:bCs/>
              </w:rPr>
              <w:t xml:space="preserve">Nature of the processing </w:t>
            </w:r>
          </w:p>
          <w:p w14:paraId="6793CF8C" w14:textId="77777777" w:rsidR="009E39F4" w:rsidRDefault="009E39F4" w:rsidP="00E6761E">
            <w:pPr>
              <w:pStyle w:val="Body"/>
            </w:pPr>
            <w:r w:rsidRPr="009E39F4">
              <w:t xml:space="preserve">The personal data transferred may be subject to the following basic processing activities: </w:t>
            </w:r>
          </w:p>
          <w:p w14:paraId="5FFDED5F" w14:textId="77777777" w:rsidR="009E39F4" w:rsidRDefault="009E39F4" w:rsidP="00E6761E">
            <w:pPr>
              <w:pStyle w:val="Body"/>
            </w:pPr>
            <w:r w:rsidRPr="009E39F4">
              <w:t xml:space="preserve">1. account configuration and maintenance, </w:t>
            </w:r>
          </w:p>
          <w:p w14:paraId="22DDDDC0" w14:textId="77777777" w:rsidR="009E39F4" w:rsidRDefault="009E39F4" w:rsidP="00E6761E">
            <w:pPr>
              <w:pStyle w:val="Body"/>
            </w:pPr>
            <w:r w:rsidRPr="009E39F4">
              <w:t xml:space="preserve">2. hosting and storing personal data arising images, video, associated audio, and comments in any form, and </w:t>
            </w:r>
          </w:p>
          <w:p w14:paraId="305B3E09" w14:textId="77777777" w:rsidR="009E39F4" w:rsidRDefault="009E39F4" w:rsidP="00E6761E">
            <w:pPr>
              <w:pStyle w:val="Body"/>
            </w:pPr>
            <w:r w:rsidRPr="009E39F4">
              <w:t xml:space="preserve">3. customer/ client technical and operational support. </w:t>
            </w:r>
          </w:p>
          <w:p w14:paraId="219134B5" w14:textId="77777777" w:rsidR="009E39F4" w:rsidRDefault="009E39F4" w:rsidP="00E6761E">
            <w:pPr>
              <w:pStyle w:val="Body"/>
            </w:pPr>
            <w:r w:rsidRPr="009E39F4">
              <w:lastRenderedPageBreak/>
              <w:t xml:space="preserve">Personal data transferred to Data Importer when acting as a Data Processor with the process under the control of the Data Importer will be encrypted in transit and will be encrypted at rest. </w:t>
            </w:r>
          </w:p>
          <w:p w14:paraId="4E2340EF" w14:textId="77777777" w:rsidR="009E39F4" w:rsidRDefault="009E39F4" w:rsidP="00E6761E">
            <w:pPr>
              <w:pStyle w:val="Body"/>
            </w:pPr>
          </w:p>
          <w:p w14:paraId="3F6FBFA3" w14:textId="77777777" w:rsidR="009E39F4" w:rsidRPr="009E39F4" w:rsidRDefault="009E39F4" w:rsidP="00E6761E">
            <w:pPr>
              <w:pStyle w:val="Body"/>
              <w:rPr>
                <w:b/>
                <w:bCs/>
              </w:rPr>
            </w:pPr>
            <w:r w:rsidRPr="009E39F4">
              <w:rPr>
                <w:b/>
                <w:bCs/>
              </w:rPr>
              <w:t xml:space="preserve">Purpose(s) of the data transfer and further processing </w:t>
            </w:r>
          </w:p>
          <w:p w14:paraId="09BDD5B7" w14:textId="77777777" w:rsidR="009E39F4" w:rsidRDefault="009E39F4" w:rsidP="00E6761E">
            <w:pPr>
              <w:pStyle w:val="Body"/>
            </w:pPr>
            <w:r w:rsidRPr="009E39F4">
              <w:t xml:space="preserve">The data transfer and any onward transfers are to </w:t>
            </w:r>
            <w:r w:rsidRPr="009E39F4">
              <w:t>fulfil</w:t>
            </w:r>
            <w:r w:rsidRPr="009E39F4">
              <w:t xml:space="preserve"> Data Importers contractual obligations to the Data Exporter. </w:t>
            </w:r>
          </w:p>
          <w:p w14:paraId="24CE8720" w14:textId="77777777" w:rsidR="009E39F4" w:rsidRDefault="009E39F4" w:rsidP="00E6761E">
            <w:pPr>
              <w:pStyle w:val="Body"/>
            </w:pPr>
          </w:p>
          <w:p w14:paraId="601560AD" w14:textId="03A27060" w:rsidR="009E39F4" w:rsidRPr="009E39F4" w:rsidRDefault="009E39F4" w:rsidP="00E6761E">
            <w:pPr>
              <w:pStyle w:val="Body"/>
              <w:rPr>
                <w:b/>
                <w:bCs/>
              </w:rPr>
            </w:pPr>
            <w:r w:rsidRPr="009E39F4">
              <w:rPr>
                <w:b/>
                <w:bCs/>
              </w:rPr>
              <w:t>The period for which the personal data will be retained, or, if that is not possible, the criteria used to determine that perio</w:t>
            </w:r>
            <w:r w:rsidRPr="009E39F4">
              <w:rPr>
                <w:b/>
                <w:bCs/>
              </w:rPr>
              <w:t>d.</w:t>
            </w:r>
          </w:p>
          <w:p w14:paraId="27D79151" w14:textId="77777777" w:rsidR="009E39F4" w:rsidRDefault="009E39F4" w:rsidP="00E6761E">
            <w:pPr>
              <w:pStyle w:val="Body"/>
            </w:pPr>
            <w:r w:rsidRPr="009E39F4">
              <w:t xml:space="preserve">Data retention is under the control of the Data Exporter. </w:t>
            </w:r>
          </w:p>
          <w:p w14:paraId="261DEAD2" w14:textId="77777777" w:rsidR="009E39F4" w:rsidRDefault="009E39F4" w:rsidP="00E6761E">
            <w:pPr>
              <w:pStyle w:val="Body"/>
            </w:pPr>
          </w:p>
          <w:p w14:paraId="4115FD47" w14:textId="77777777" w:rsidR="009E39F4" w:rsidRPr="009E39F4" w:rsidRDefault="009E39F4" w:rsidP="00E6761E">
            <w:pPr>
              <w:pStyle w:val="Body"/>
              <w:rPr>
                <w:b/>
                <w:bCs/>
              </w:rPr>
            </w:pPr>
            <w:r w:rsidRPr="009E39F4">
              <w:rPr>
                <w:b/>
                <w:bCs/>
              </w:rPr>
              <w:t xml:space="preserve">For transfers to (sub-) processors, also specify subject matter, nature and duration of the processing </w:t>
            </w:r>
          </w:p>
          <w:p w14:paraId="1C1BA415" w14:textId="13EE894D" w:rsidR="009E39F4" w:rsidRPr="00E6761E" w:rsidRDefault="009E39F4" w:rsidP="00E6761E">
            <w:pPr>
              <w:pStyle w:val="Body"/>
            </w:pPr>
            <w:r w:rsidRPr="009E39F4">
              <w:t xml:space="preserve">The data transfer and any onward transfers are to </w:t>
            </w:r>
            <w:r w:rsidRPr="009E39F4">
              <w:t>fulfil</w:t>
            </w:r>
            <w:r w:rsidRPr="009E39F4">
              <w:t xml:space="preserve"> Data Importers contractual obligations to the Data Exporter. Data retention is under the control of the Data Exporter.</w:t>
            </w:r>
          </w:p>
        </w:tc>
      </w:tr>
      <w:tr w:rsidR="00E6761E" w14:paraId="0F3A1F0D" w14:textId="77777777" w:rsidTr="00143995">
        <w:tc>
          <w:tcPr>
            <w:tcW w:w="9017" w:type="dxa"/>
          </w:tcPr>
          <w:p w14:paraId="6944B206" w14:textId="77777777" w:rsidR="00E6761E" w:rsidRDefault="00E6761E" w:rsidP="00E6761E">
            <w:pPr>
              <w:pStyle w:val="Body"/>
            </w:pPr>
            <w:r w:rsidRPr="00E6761E">
              <w:lastRenderedPageBreak/>
              <w:t>Annex II: Technical and organisational measures including technical and organisational measures to ensure the security of the data</w:t>
            </w:r>
            <w:r w:rsidR="00C26D41">
              <w:t xml:space="preserve">: </w:t>
            </w:r>
          </w:p>
          <w:p w14:paraId="0F35E456" w14:textId="77777777" w:rsidR="009E39F4" w:rsidRDefault="009E39F4" w:rsidP="009E39F4">
            <w:pPr>
              <w:pStyle w:val="Body"/>
              <w:numPr>
                <w:ilvl w:val="0"/>
                <w:numId w:val="0"/>
              </w:numPr>
            </w:pPr>
            <w:proofErr w:type="gramStart"/>
            <w:r w:rsidRPr="009E39F4">
              <w:t>Taking into account</w:t>
            </w:r>
            <w:proofErr w:type="gramEnd"/>
            <w:r w:rsidRPr="009E39F4">
              <w:t xml:space="preserve"> the state of the art, the costs of implementation and the nature, scope, context, and purposes of processing as well as the risk of varying likelihood and severity for the rights and freedoms of natural persons, Importer will implement appropriated technical and organizational measures to ensure a level of security appropriate to the risk, including, as appropriate:  </w:t>
            </w:r>
          </w:p>
          <w:p w14:paraId="175EB1E2" w14:textId="77777777" w:rsidR="009E39F4" w:rsidRDefault="009E39F4" w:rsidP="009E39F4">
            <w:pPr>
              <w:pStyle w:val="Body"/>
              <w:numPr>
                <w:ilvl w:val="0"/>
                <w:numId w:val="25"/>
              </w:numPr>
            </w:pPr>
            <w:r w:rsidRPr="009E39F4">
              <w:t xml:space="preserve">The pseudonymization and encryption of personal data at rest and in </w:t>
            </w:r>
            <w:proofErr w:type="gramStart"/>
            <w:r w:rsidRPr="009E39F4">
              <w:t>transit;</w:t>
            </w:r>
            <w:proofErr w:type="gramEnd"/>
            <w:r w:rsidRPr="009E39F4">
              <w:t xml:space="preserve">  </w:t>
            </w:r>
          </w:p>
          <w:p w14:paraId="36153FE1" w14:textId="77777777" w:rsidR="009E39F4" w:rsidRDefault="009E39F4" w:rsidP="009E39F4">
            <w:pPr>
              <w:pStyle w:val="Body"/>
              <w:numPr>
                <w:ilvl w:val="0"/>
                <w:numId w:val="25"/>
              </w:numPr>
            </w:pPr>
            <w:r w:rsidRPr="009E39F4">
              <w:t xml:space="preserve">The ability to ensure the ongoing confidentiality, integrity, availability, and resilience of processing systems and </w:t>
            </w:r>
            <w:proofErr w:type="gramStart"/>
            <w:r w:rsidRPr="009E39F4">
              <w:t>services;</w:t>
            </w:r>
            <w:proofErr w:type="gramEnd"/>
          </w:p>
          <w:p w14:paraId="651FA201" w14:textId="77777777" w:rsidR="009E39F4" w:rsidRDefault="009E39F4" w:rsidP="009E39F4">
            <w:pPr>
              <w:pStyle w:val="Body"/>
              <w:numPr>
                <w:ilvl w:val="0"/>
                <w:numId w:val="25"/>
              </w:numPr>
            </w:pPr>
            <w:r w:rsidRPr="009E39F4">
              <w:t xml:space="preserve">Ensure that persons authorized to process personal information have committed themselves to confidentiality or are under an appropriate statutory obligation of </w:t>
            </w:r>
            <w:proofErr w:type="gramStart"/>
            <w:r w:rsidRPr="009E39F4">
              <w:t>confidentiality;</w:t>
            </w:r>
            <w:proofErr w:type="gramEnd"/>
          </w:p>
          <w:p w14:paraId="49A3D012" w14:textId="77777777" w:rsidR="009E39F4" w:rsidRDefault="009E39F4" w:rsidP="009E39F4">
            <w:pPr>
              <w:pStyle w:val="Body"/>
              <w:numPr>
                <w:ilvl w:val="0"/>
                <w:numId w:val="25"/>
              </w:numPr>
            </w:pPr>
            <w:r w:rsidRPr="009E39F4">
              <w:t xml:space="preserve">The ability to restore the availability and access to personal data in a timely manner in the event of a physical or technical incident; and </w:t>
            </w:r>
          </w:p>
          <w:p w14:paraId="08C2C4BD" w14:textId="77777777" w:rsidR="009E39F4" w:rsidRDefault="009E39F4" w:rsidP="009E39F4">
            <w:pPr>
              <w:pStyle w:val="Body"/>
              <w:numPr>
                <w:ilvl w:val="0"/>
                <w:numId w:val="25"/>
              </w:numPr>
            </w:pPr>
            <w:r w:rsidRPr="009E39F4">
              <w:t>A process for regularly testing, assessing, and evaluating the technical and organizational measures for ensuring security of processing.</w:t>
            </w:r>
          </w:p>
          <w:p w14:paraId="7754E432" w14:textId="77777777" w:rsidR="009E39F4" w:rsidRDefault="009E39F4" w:rsidP="009E39F4">
            <w:pPr>
              <w:pStyle w:val="Body"/>
              <w:numPr>
                <w:ilvl w:val="0"/>
                <w:numId w:val="0"/>
              </w:numPr>
            </w:pPr>
          </w:p>
          <w:p w14:paraId="55D66177" w14:textId="77777777" w:rsidR="009E39F4" w:rsidRDefault="009E39F4" w:rsidP="009E39F4">
            <w:pPr>
              <w:pStyle w:val="Body"/>
              <w:numPr>
                <w:ilvl w:val="0"/>
                <w:numId w:val="0"/>
              </w:numPr>
            </w:pPr>
            <w:r w:rsidRPr="009E39F4">
              <w:lastRenderedPageBreak/>
              <w:t xml:space="preserve">Additionally, Importer will process any personal data received only on Exporters documented instructions, including with regard to transfers of such data to a third country or international organization, unless required by applicable law to which we are subject; in such case, Importer will notify Exporter of that legal requirement prior to processing, unless that law prohibits such information on important ground of public interest. </w:t>
            </w:r>
          </w:p>
          <w:p w14:paraId="21C49FFB" w14:textId="3841F810" w:rsidR="009E39F4" w:rsidRPr="00E6761E" w:rsidRDefault="009E39F4" w:rsidP="009E39F4">
            <w:pPr>
              <w:pStyle w:val="Body"/>
              <w:numPr>
                <w:ilvl w:val="0"/>
                <w:numId w:val="0"/>
              </w:numPr>
            </w:pPr>
            <w:r w:rsidRPr="009E39F4">
              <w:t>Where we engage another processor for carrying out specific processing activities on your behalf, the same data protections obligations outlined above will be imposed on that other processor by way of a contract or other legal act under applicable law, in particular providing sufficient guarantees to implement appropriate technical and organizational measures in such a manner that will meet the requirements of relevant data protection laws.</w:t>
            </w:r>
          </w:p>
        </w:tc>
      </w:tr>
      <w:tr w:rsidR="00E6761E" w14:paraId="1CD7A0F3" w14:textId="77777777" w:rsidTr="00143995">
        <w:tc>
          <w:tcPr>
            <w:tcW w:w="9017" w:type="dxa"/>
            <w:tcBorders>
              <w:bottom w:val="single" w:sz="18" w:space="0" w:color="FFC000"/>
            </w:tcBorders>
          </w:tcPr>
          <w:p w14:paraId="3E28C74A" w14:textId="77777777" w:rsidR="00E6761E" w:rsidRDefault="00E6761E" w:rsidP="00E6761E">
            <w:pPr>
              <w:pStyle w:val="Body"/>
            </w:pPr>
            <w:r w:rsidRPr="00E6761E">
              <w:lastRenderedPageBreak/>
              <w:t>Annex III: List of Sub processors (Modules 2 and 3 only)</w:t>
            </w:r>
            <w:r w:rsidR="00C26D41">
              <w:t xml:space="preserve">: </w:t>
            </w:r>
          </w:p>
          <w:p w14:paraId="43C5F869" w14:textId="11C16F76" w:rsidR="00611F78" w:rsidRPr="00E6761E" w:rsidRDefault="00611F78" w:rsidP="00E6761E">
            <w:pPr>
              <w:pStyle w:val="Body"/>
            </w:pPr>
            <w:r>
              <w:t xml:space="preserve">A current list of sub-processors may be obtained here: </w:t>
            </w:r>
            <w:hyperlink r:id="rId9" w:history="1">
              <w:r w:rsidRPr="004E33B8">
                <w:rPr>
                  <w:rStyle w:val="Hyperlink"/>
                </w:rPr>
                <w:t>https://support.techsmith.com/hc/en-us/articles/360025940832-Sub-Processor-List</w:t>
              </w:r>
            </w:hyperlink>
            <w:r>
              <w:t xml:space="preserve"> </w:t>
            </w:r>
          </w:p>
        </w:tc>
      </w:tr>
    </w:tbl>
    <w:p w14:paraId="3D47B792" w14:textId="06DBF4C4" w:rsidR="00E52788" w:rsidRPr="00AD536D" w:rsidRDefault="00E52788" w:rsidP="00E52788">
      <w:pPr>
        <w:pStyle w:val="Heading3"/>
        <w:jc w:val="both"/>
      </w:pPr>
      <w:r w:rsidRPr="00AD536D">
        <w:t>Table 4: Ending th</w:t>
      </w:r>
      <w:r w:rsidR="001C3A39" w:rsidRPr="00AD536D">
        <w:t>is</w:t>
      </w:r>
      <w:r w:rsidRPr="00AD536D">
        <w:t xml:space="preserve"> Addendum </w:t>
      </w:r>
      <w:r w:rsidR="001C3A39" w:rsidRPr="00AD536D">
        <w:t>when the Approved Addendum Changes</w:t>
      </w:r>
    </w:p>
    <w:tbl>
      <w:tblPr>
        <w:tblStyle w:val="TableGrid0"/>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725"/>
        <w:gridCol w:w="7288"/>
      </w:tblGrid>
      <w:tr w:rsidR="001C3A39" w:rsidRPr="009426CA" w14:paraId="075B1E8F" w14:textId="77777777" w:rsidTr="00D93C74">
        <w:tc>
          <w:tcPr>
            <w:tcW w:w="957" w:type="pct"/>
            <w:tcBorders>
              <w:bottom w:val="single" w:sz="18" w:space="0" w:color="FFC000"/>
            </w:tcBorders>
            <w:shd w:val="clear" w:color="auto" w:fill="FFF9DD"/>
          </w:tcPr>
          <w:p w14:paraId="78EA6E76" w14:textId="1FC97D20" w:rsidR="001C3A39" w:rsidRPr="00AD536D" w:rsidRDefault="001C3A39" w:rsidP="00012EE1">
            <w:pPr>
              <w:pStyle w:val="Body"/>
              <w:rPr>
                <w:b/>
                <w:bCs/>
                <w:sz w:val="18"/>
                <w:szCs w:val="18"/>
              </w:rPr>
            </w:pPr>
            <w:r w:rsidRPr="00012EE1">
              <w:rPr>
                <w:b/>
                <w:bCs/>
                <w:color w:val="003768"/>
              </w:rPr>
              <w:t>Ending this Addendum when the Approved Addendum changes</w:t>
            </w:r>
          </w:p>
        </w:tc>
        <w:tc>
          <w:tcPr>
            <w:tcW w:w="4043" w:type="pct"/>
            <w:tcBorders>
              <w:bottom w:val="single" w:sz="18" w:space="0" w:color="FFC000"/>
            </w:tcBorders>
          </w:tcPr>
          <w:p w14:paraId="549CA36C" w14:textId="21265D21" w:rsidR="001C3A39" w:rsidRPr="00012EE1" w:rsidRDefault="001C3A39" w:rsidP="00012EE1">
            <w:pPr>
              <w:pStyle w:val="Body"/>
            </w:pPr>
            <w:r w:rsidRPr="00012EE1">
              <w:t xml:space="preserve">Which Parties may </w:t>
            </w:r>
            <w:r w:rsidR="00654081">
              <w:t>end</w:t>
            </w:r>
            <w:r w:rsidRPr="00012EE1">
              <w:t xml:space="preserve"> this Addendum as set out in Section </w:t>
            </w:r>
            <w:r w:rsidRPr="00012EE1">
              <w:fldChar w:fldCharType="begin"/>
            </w:r>
            <w:r w:rsidRPr="00012EE1">
              <w:instrText xml:space="preserve"> REF _Ref93329888 \r \h  \* MERGEFORMAT </w:instrText>
            </w:r>
            <w:r w:rsidRPr="00012EE1">
              <w:fldChar w:fldCharType="separate"/>
            </w:r>
            <w:r w:rsidR="00993F5E" w:rsidRPr="00012EE1">
              <w:rPr>
                <w:rFonts w:hint="cs"/>
                <w:cs/>
              </w:rPr>
              <w:t>‎</w:t>
            </w:r>
            <w:r w:rsidR="00993F5E" w:rsidRPr="00012EE1">
              <w:t>19</w:t>
            </w:r>
            <w:r w:rsidRPr="00012EE1">
              <w:fldChar w:fldCharType="end"/>
            </w:r>
            <w:r w:rsidRPr="00012EE1">
              <w:t>:</w:t>
            </w:r>
          </w:p>
          <w:p w14:paraId="18363822" w14:textId="307FE29D" w:rsidR="001C3A39" w:rsidRPr="00012EE1" w:rsidRDefault="00611F78" w:rsidP="00012EE1">
            <w:pPr>
              <w:pStyle w:val="Body"/>
            </w:pPr>
            <w:r>
              <w:fldChar w:fldCharType="begin">
                <w:ffData>
                  <w:name w:val=""/>
                  <w:enabled/>
                  <w:calcOnExit w:val="0"/>
                  <w:checkBox>
                    <w:size w:val="16"/>
                    <w:default w:val="1"/>
                  </w:checkBox>
                </w:ffData>
              </w:fldChar>
            </w:r>
            <w:r>
              <w:instrText xml:space="preserve"> FORMCHECKBOX </w:instrText>
            </w:r>
            <w:r>
              <w:fldChar w:fldCharType="separate"/>
            </w:r>
            <w:r>
              <w:fldChar w:fldCharType="end"/>
            </w:r>
            <w:r w:rsidR="001C3A39" w:rsidRPr="00AD536D">
              <w:t xml:space="preserve"> </w:t>
            </w:r>
            <w:r w:rsidR="001C3A39" w:rsidRPr="00012EE1">
              <w:t>Importer</w:t>
            </w:r>
          </w:p>
          <w:p w14:paraId="73143848" w14:textId="2F63BD38" w:rsidR="001C3A39" w:rsidRPr="00012EE1" w:rsidRDefault="00611F78" w:rsidP="00012EE1">
            <w:pPr>
              <w:pStyle w:val="Body"/>
            </w:pPr>
            <w:r>
              <w:fldChar w:fldCharType="begin">
                <w:ffData>
                  <w:name w:val=""/>
                  <w:enabled/>
                  <w:calcOnExit w:val="0"/>
                  <w:checkBox>
                    <w:size w:val="16"/>
                    <w:default w:val="1"/>
                  </w:checkBox>
                </w:ffData>
              </w:fldChar>
            </w:r>
            <w:r>
              <w:instrText xml:space="preserve"> FORMCHECKBOX </w:instrText>
            </w:r>
            <w:r>
              <w:fldChar w:fldCharType="separate"/>
            </w:r>
            <w:r>
              <w:fldChar w:fldCharType="end"/>
            </w:r>
            <w:r w:rsidR="001C3A39" w:rsidRPr="00012EE1">
              <w:t xml:space="preserve"> Exporter</w:t>
            </w:r>
          </w:p>
          <w:p w14:paraId="69C00A61" w14:textId="77777777" w:rsidR="001C3A39" w:rsidRPr="0024268B" w:rsidRDefault="001C3A39" w:rsidP="00012EE1">
            <w:pPr>
              <w:pStyle w:val="Body"/>
              <w:rPr>
                <w:sz w:val="18"/>
                <w:szCs w:val="18"/>
              </w:rPr>
            </w:pPr>
            <w:r w:rsidRPr="00AD536D">
              <w:fldChar w:fldCharType="begin" w:fldLock="1">
                <w:ffData>
                  <w:name w:val=""/>
                  <w:enabled/>
                  <w:calcOnExit w:val="0"/>
                  <w:checkBox>
                    <w:size w:val="16"/>
                    <w:default w:val="0"/>
                  </w:checkBox>
                </w:ffData>
              </w:fldChar>
            </w:r>
            <w:r w:rsidRPr="00012EE1">
              <w:instrText xml:space="preserve"> FORMCHECKBOX </w:instrText>
            </w:r>
            <w:r w:rsidRPr="00AD536D">
              <w:fldChar w:fldCharType="separate"/>
            </w:r>
            <w:r w:rsidRPr="00AD536D">
              <w:fldChar w:fldCharType="end"/>
            </w:r>
            <w:r w:rsidRPr="00012EE1">
              <w:t xml:space="preserve"> neither Party</w:t>
            </w:r>
          </w:p>
        </w:tc>
      </w:tr>
    </w:tbl>
    <w:p w14:paraId="253C5CF0" w14:textId="3E45795F" w:rsidR="00E6761E" w:rsidRDefault="00E6761E" w:rsidP="00E6761E">
      <w:pPr>
        <w:pStyle w:val="Heading2"/>
      </w:pPr>
      <w:r>
        <w:t>Part 2: Mandatory Clauses</w:t>
      </w:r>
    </w:p>
    <w:p w14:paraId="007B8313" w14:textId="01284D53" w:rsidR="00EB2ED8" w:rsidRDefault="00EB2ED8" w:rsidP="00E6761E">
      <w:pPr>
        <w:pStyle w:val="Heading3"/>
      </w:pPr>
      <w:proofErr w:type="gramStart"/>
      <w:r>
        <w:t>Entering into</w:t>
      </w:r>
      <w:proofErr w:type="gramEnd"/>
      <w:r>
        <w:t xml:space="preserve"> this Addendum</w:t>
      </w:r>
    </w:p>
    <w:p w14:paraId="48163F45" w14:textId="3D500932" w:rsidR="00EB2ED8" w:rsidRDefault="00EB2ED8" w:rsidP="00900707">
      <w:pPr>
        <w:pStyle w:val="NormalNumbered"/>
      </w:pPr>
      <w:r w:rsidRPr="001A20D4">
        <w:t>Each Party agrees to be bound by the terms and conditions set out in th</w:t>
      </w:r>
      <w:r>
        <w:t>is Addendum</w:t>
      </w:r>
      <w:r w:rsidRPr="001A20D4">
        <w:t>, in exchange for the other Party also agreeing to be bound by th</w:t>
      </w:r>
      <w:r>
        <w:t>is</w:t>
      </w:r>
      <w:r w:rsidRPr="001A20D4">
        <w:t xml:space="preserve"> </w:t>
      </w:r>
      <w:r>
        <w:t>Addendum</w:t>
      </w:r>
      <w:r w:rsidRPr="001A20D4">
        <w:t>.</w:t>
      </w:r>
    </w:p>
    <w:p w14:paraId="4600872A" w14:textId="45F8960F" w:rsidR="006C0E3F" w:rsidRDefault="006C0E3F" w:rsidP="00900707">
      <w:pPr>
        <w:pStyle w:val="NormalNumbered"/>
      </w:pPr>
      <w:bookmarkStart w:id="5" w:name="_Ref90904580"/>
      <w:r>
        <w:t xml:space="preserve">Although Annex 1A and Clause 7 of the Approved EU SCCs require signature by the </w:t>
      </w:r>
      <w:proofErr w:type="gramStart"/>
      <w:r>
        <w:t>Parties,</w:t>
      </w:r>
      <w:proofErr w:type="gramEnd"/>
      <w:r>
        <w:t xml:space="preserve"> for the purpose of making Restricted Transfers, the Parties may </w:t>
      </w:r>
      <w:proofErr w:type="gramStart"/>
      <w:r>
        <w:t>enter into</w:t>
      </w:r>
      <w:proofErr w:type="gramEnd"/>
      <w:r>
        <w:t xml:space="preserve"> this Addendum in any way that makes them legally binding on the </w:t>
      </w:r>
      <w:r w:rsidRPr="00E65230">
        <w:t xml:space="preserve">Parties </w:t>
      </w:r>
      <w:r>
        <w:t xml:space="preserve">and allows data subjects to enforce their rights as set out in this Addendum. </w:t>
      </w:r>
      <w:proofErr w:type="gramStart"/>
      <w:r>
        <w:t>Entering into</w:t>
      </w:r>
      <w:proofErr w:type="gramEnd"/>
      <w:r>
        <w:t xml:space="preserve"> this Addendum will have the same effect as signing the Approved EU SCCs and any part of the Approved EU SCCs.</w:t>
      </w:r>
      <w:bookmarkEnd w:id="5"/>
    </w:p>
    <w:p w14:paraId="5D4354D2" w14:textId="3F5D7C6F" w:rsidR="00F04AD3" w:rsidRDefault="00BE6994" w:rsidP="00E6761E">
      <w:pPr>
        <w:pStyle w:val="Heading3"/>
      </w:pPr>
      <w:bookmarkStart w:id="6" w:name="_Hlk92885712"/>
      <w:r>
        <w:lastRenderedPageBreak/>
        <w:t xml:space="preserve">Interpretation of this Addendum </w:t>
      </w:r>
    </w:p>
    <w:p w14:paraId="220B4C8E" w14:textId="0B334564" w:rsidR="00294812" w:rsidRDefault="00BE6994" w:rsidP="00294812">
      <w:pPr>
        <w:pStyle w:val="NormalNumbered"/>
      </w:pPr>
      <w:r>
        <w:t xml:space="preserve">Where this Addendum uses terms that are defined in the </w:t>
      </w:r>
      <w:r w:rsidR="001A20D4">
        <w:t xml:space="preserve">Approved EU SCCs </w:t>
      </w:r>
      <w:r>
        <w:t xml:space="preserve">those terms shall have the same </w:t>
      </w:r>
      <w:r w:rsidRPr="00900707">
        <w:t>meaning</w:t>
      </w:r>
      <w:r>
        <w:t xml:space="preserve"> as in the</w:t>
      </w:r>
      <w:r w:rsidR="001A20D4">
        <w:t xml:space="preserve"> Approved EU SCCs</w:t>
      </w:r>
      <w:r>
        <w:t>.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548"/>
        <w:gridCol w:w="6470"/>
      </w:tblGrid>
      <w:tr w:rsidR="00DF53A9" w:rsidRPr="00E6761E" w14:paraId="0FB77655" w14:textId="77777777" w:rsidTr="00951D9E">
        <w:tc>
          <w:tcPr>
            <w:tcW w:w="1413" w:type="pct"/>
            <w:tcBorders>
              <w:top w:val="single" w:sz="4" w:space="0" w:color="FFC000"/>
              <w:right w:val="single" w:sz="4" w:space="0" w:color="FFC000"/>
            </w:tcBorders>
            <w:shd w:val="clear" w:color="auto" w:fill="FFF9DD"/>
          </w:tcPr>
          <w:p w14:paraId="332FF968" w14:textId="5CBA8E3D" w:rsidR="00E6761E" w:rsidRPr="002B2EB7" w:rsidRDefault="00E6761E" w:rsidP="00E6761E">
            <w:pPr>
              <w:pStyle w:val="Body"/>
              <w:rPr>
                <w:color w:val="003768"/>
              </w:rPr>
            </w:pPr>
            <w:r w:rsidRPr="002B2EB7">
              <w:rPr>
                <w:color w:val="003768"/>
              </w:rPr>
              <w:t xml:space="preserve">Addendum </w:t>
            </w:r>
          </w:p>
        </w:tc>
        <w:tc>
          <w:tcPr>
            <w:tcW w:w="3587" w:type="pct"/>
            <w:tcBorders>
              <w:top w:val="single" w:sz="4" w:space="0" w:color="FFC000"/>
              <w:left w:val="single" w:sz="4" w:space="0" w:color="FFC000"/>
            </w:tcBorders>
          </w:tcPr>
          <w:p w14:paraId="527FE66B" w14:textId="2A4A33C4" w:rsidR="00E6761E" w:rsidRPr="00E6761E" w:rsidRDefault="00E6761E" w:rsidP="00E6761E">
            <w:pPr>
              <w:pStyle w:val="Body"/>
            </w:pPr>
            <w:r w:rsidRPr="00E6761E">
              <w:t>This International Data Transfer Addendum which is made up of this Addendum incorporating the Addendum EU SCCs.</w:t>
            </w:r>
          </w:p>
        </w:tc>
      </w:tr>
      <w:tr w:rsidR="00054A4C" w:rsidRPr="00E6761E" w14:paraId="5A2E1E5C" w14:textId="77777777" w:rsidTr="00951D9E">
        <w:tc>
          <w:tcPr>
            <w:tcW w:w="1413" w:type="pct"/>
            <w:tcBorders>
              <w:right w:val="single" w:sz="4" w:space="0" w:color="FFC000"/>
            </w:tcBorders>
            <w:shd w:val="clear" w:color="auto" w:fill="FFF9DD"/>
          </w:tcPr>
          <w:p w14:paraId="0C435E18" w14:textId="7BEFA395" w:rsidR="00E6761E" w:rsidRPr="002B2EB7" w:rsidRDefault="00E6761E" w:rsidP="00E6761E">
            <w:pPr>
              <w:pStyle w:val="Body"/>
              <w:rPr>
                <w:color w:val="003768"/>
              </w:rPr>
            </w:pPr>
            <w:r w:rsidRPr="002B2EB7">
              <w:rPr>
                <w:color w:val="003768"/>
              </w:rPr>
              <w:t>Addendum EU SCCs</w:t>
            </w:r>
          </w:p>
        </w:tc>
        <w:tc>
          <w:tcPr>
            <w:tcW w:w="3587" w:type="pct"/>
            <w:tcBorders>
              <w:left w:val="single" w:sz="4" w:space="0" w:color="FFC000"/>
            </w:tcBorders>
          </w:tcPr>
          <w:p w14:paraId="0F7D6F93" w14:textId="3C2F4C33" w:rsidR="00E6761E" w:rsidRPr="00E6761E" w:rsidRDefault="00E6761E" w:rsidP="009911AB">
            <w:pPr>
              <w:pStyle w:val="Body"/>
            </w:pPr>
            <w:r>
              <w:t xml:space="preserve">The version(s) of the Approved EU SCCs which this Addendum is appended to, as set out in </w:t>
            </w:r>
            <w:r w:rsidR="00C26D41">
              <w:t xml:space="preserve">Table </w:t>
            </w:r>
            <w:r w:rsidR="00D77492">
              <w:t>2</w:t>
            </w:r>
            <w:r>
              <w:t>, including the Appendix Information.</w:t>
            </w:r>
          </w:p>
        </w:tc>
      </w:tr>
      <w:tr w:rsidR="00054A4C" w:rsidRPr="00E6761E" w14:paraId="65F3359A" w14:textId="77777777" w:rsidTr="00951D9E">
        <w:tc>
          <w:tcPr>
            <w:tcW w:w="1413" w:type="pct"/>
            <w:tcBorders>
              <w:right w:val="single" w:sz="4" w:space="0" w:color="FFC000"/>
            </w:tcBorders>
            <w:shd w:val="clear" w:color="auto" w:fill="FFF9DD"/>
          </w:tcPr>
          <w:p w14:paraId="364FA5F6" w14:textId="33637AC6" w:rsidR="00E6761E" w:rsidRPr="002B2EB7" w:rsidRDefault="00E6761E" w:rsidP="00E6761E">
            <w:pPr>
              <w:pStyle w:val="Body"/>
              <w:rPr>
                <w:color w:val="003768"/>
              </w:rPr>
            </w:pPr>
            <w:r w:rsidRPr="002B2EB7">
              <w:rPr>
                <w:color w:val="003768"/>
              </w:rPr>
              <w:t>Appendix Information</w:t>
            </w:r>
          </w:p>
        </w:tc>
        <w:tc>
          <w:tcPr>
            <w:tcW w:w="3587" w:type="pct"/>
            <w:tcBorders>
              <w:left w:val="single" w:sz="4" w:space="0" w:color="FFC000"/>
            </w:tcBorders>
          </w:tcPr>
          <w:p w14:paraId="289E8F7B" w14:textId="18579409" w:rsidR="00E6761E" w:rsidRPr="001C3A39" w:rsidRDefault="00E6761E" w:rsidP="00E6761E">
            <w:pPr>
              <w:pStyle w:val="Body"/>
              <w:rPr>
                <w:highlight w:val="green"/>
              </w:rPr>
            </w:pPr>
            <w:r w:rsidRPr="00AD536D">
              <w:t xml:space="preserve">As set out in </w:t>
            </w:r>
            <w:r w:rsidR="00C26D41" w:rsidRPr="00AD536D">
              <w:t xml:space="preserve">Table </w:t>
            </w:r>
            <w:r w:rsidRPr="00AD536D">
              <w:rPr>
                <w:rFonts w:ascii="Arial" w:hAnsi="Arial" w:cs="Arial"/>
              </w:rPr>
              <w:t>‎</w:t>
            </w:r>
            <w:r w:rsidRPr="00AD536D">
              <w:t>3.</w:t>
            </w:r>
          </w:p>
        </w:tc>
      </w:tr>
      <w:tr w:rsidR="00054A4C" w:rsidRPr="00E6761E" w14:paraId="2D535533" w14:textId="77777777" w:rsidTr="00951D9E">
        <w:tc>
          <w:tcPr>
            <w:tcW w:w="1413" w:type="pct"/>
            <w:tcBorders>
              <w:right w:val="single" w:sz="4" w:space="0" w:color="FFC000"/>
            </w:tcBorders>
            <w:shd w:val="clear" w:color="auto" w:fill="FFF9DD"/>
          </w:tcPr>
          <w:p w14:paraId="3E5C3F92" w14:textId="0A69CA49" w:rsidR="00E6761E" w:rsidRPr="002B2EB7" w:rsidRDefault="00E6761E" w:rsidP="00E6761E">
            <w:pPr>
              <w:pStyle w:val="Body"/>
              <w:rPr>
                <w:color w:val="003768"/>
              </w:rPr>
            </w:pPr>
            <w:r w:rsidRPr="002B2EB7">
              <w:rPr>
                <w:color w:val="003768"/>
              </w:rPr>
              <w:t>Appropriate Safeguards</w:t>
            </w:r>
          </w:p>
        </w:tc>
        <w:tc>
          <w:tcPr>
            <w:tcW w:w="3587" w:type="pct"/>
            <w:tcBorders>
              <w:left w:val="single" w:sz="4" w:space="0" w:color="FFC000"/>
            </w:tcBorders>
          </w:tcPr>
          <w:p w14:paraId="73FF89B8" w14:textId="06FE4E15" w:rsidR="00E6761E" w:rsidRPr="00E6761E" w:rsidRDefault="00E6761E" w:rsidP="00E6761E">
            <w:pPr>
              <w:pStyle w:val="Body"/>
            </w:pPr>
            <w:r w:rsidRPr="00E6761E">
              <w:t>The standard of protection over the personal data and of data subjects’ rights, which is required by UK Data Protection Laws when you are making a Restricted Transfer relying on standard data protection clauses under Article 46(2)(d) UK GDPR.</w:t>
            </w:r>
          </w:p>
        </w:tc>
      </w:tr>
      <w:tr w:rsidR="00054A4C" w:rsidRPr="00E6761E" w14:paraId="686DD605" w14:textId="77777777" w:rsidTr="00951D9E">
        <w:tc>
          <w:tcPr>
            <w:tcW w:w="1413" w:type="pct"/>
            <w:tcBorders>
              <w:right w:val="single" w:sz="4" w:space="0" w:color="FFC000"/>
            </w:tcBorders>
            <w:shd w:val="clear" w:color="auto" w:fill="FFF9DD"/>
          </w:tcPr>
          <w:p w14:paraId="70F85B05" w14:textId="17820985" w:rsidR="00E6761E" w:rsidRPr="002B2EB7" w:rsidRDefault="00E6761E" w:rsidP="00E6761E">
            <w:pPr>
              <w:pStyle w:val="Body"/>
              <w:rPr>
                <w:color w:val="003768"/>
              </w:rPr>
            </w:pPr>
            <w:r w:rsidRPr="002B2EB7">
              <w:rPr>
                <w:color w:val="003768"/>
              </w:rPr>
              <w:t>Approved Addendum</w:t>
            </w:r>
          </w:p>
        </w:tc>
        <w:tc>
          <w:tcPr>
            <w:tcW w:w="3587" w:type="pct"/>
            <w:tcBorders>
              <w:left w:val="single" w:sz="4" w:space="0" w:color="FFC000"/>
            </w:tcBorders>
            <w:vAlign w:val="center"/>
          </w:tcPr>
          <w:p w14:paraId="02C8B253" w14:textId="3EE7B42A" w:rsidR="00E6761E" w:rsidRPr="00E6761E" w:rsidRDefault="00E6761E" w:rsidP="00E6761E">
            <w:pPr>
              <w:pStyle w:val="Body"/>
            </w:pPr>
            <w:r w:rsidRPr="00E6761E">
              <w:t xml:space="preserve">The template Addendum issued by the ICO and laid before Parliament in accordance with </w:t>
            </w:r>
            <w:r w:rsidR="006D6E5E">
              <w:t>s</w:t>
            </w:r>
            <w:r w:rsidRPr="00E6761E">
              <w:t>11</w:t>
            </w:r>
            <w:r w:rsidR="00D77492">
              <w:t>9</w:t>
            </w:r>
            <w:r w:rsidRPr="00E6761E">
              <w:t xml:space="preserve">A of the Data Protection Act 2018 on </w:t>
            </w:r>
            <w:r w:rsidR="00D03ACB">
              <w:t>2 February</w:t>
            </w:r>
            <w:r w:rsidRPr="00E6761E">
              <w:t xml:space="preserve"> 2022, as it is revised under Section </w:t>
            </w:r>
            <w:r w:rsidRPr="00E6761E">
              <w:fldChar w:fldCharType="begin"/>
            </w:r>
            <w:r w:rsidRPr="00E6761E">
              <w:instrText xml:space="preserve"> REF _Ref90907400 \r \h  \* MERGEFORMAT </w:instrText>
            </w:r>
            <w:r w:rsidRPr="00E6761E">
              <w:fldChar w:fldCharType="separate"/>
            </w:r>
            <w:r w:rsidR="00993F5E">
              <w:rPr>
                <w:rFonts w:hint="cs"/>
                <w:cs/>
              </w:rPr>
              <w:t>‎</w:t>
            </w:r>
            <w:r w:rsidR="00993F5E">
              <w:t>18</w:t>
            </w:r>
            <w:r w:rsidRPr="00E6761E">
              <w:fldChar w:fldCharType="end"/>
            </w:r>
            <w:r w:rsidRPr="00E6761E">
              <w:t>.</w:t>
            </w:r>
          </w:p>
        </w:tc>
      </w:tr>
      <w:tr w:rsidR="00054A4C" w:rsidRPr="00E6761E" w14:paraId="258096C1" w14:textId="77777777" w:rsidTr="00951D9E">
        <w:tc>
          <w:tcPr>
            <w:tcW w:w="1413" w:type="pct"/>
            <w:tcBorders>
              <w:right w:val="single" w:sz="4" w:space="0" w:color="FFC000"/>
            </w:tcBorders>
            <w:shd w:val="clear" w:color="auto" w:fill="FFF9DD"/>
          </w:tcPr>
          <w:p w14:paraId="58B85CAD" w14:textId="72B3F33A" w:rsidR="00E6761E" w:rsidRPr="002B2EB7" w:rsidRDefault="00E6761E" w:rsidP="00E6761E">
            <w:pPr>
              <w:pStyle w:val="Body"/>
              <w:rPr>
                <w:color w:val="003768"/>
              </w:rPr>
            </w:pPr>
            <w:r w:rsidRPr="002B2EB7">
              <w:rPr>
                <w:color w:val="003768"/>
              </w:rPr>
              <w:t xml:space="preserve">Approved EU SCCs </w:t>
            </w:r>
          </w:p>
        </w:tc>
        <w:tc>
          <w:tcPr>
            <w:tcW w:w="3587" w:type="pct"/>
            <w:tcBorders>
              <w:left w:val="single" w:sz="4" w:space="0" w:color="FFC000"/>
            </w:tcBorders>
          </w:tcPr>
          <w:p w14:paraId="33C8480B" w14:textId="7106A949" w:rsidR="00E6761E" w:rsidRPr="00E6761E" w:rsidRDefault="00E6761E" w:rsidP="00E6761E">
            <w:pPr>
              <w:pStyle w:val="Body"/>
            </w:pPr>
            <w:r w:rsidRPr="00E6761E">
              <w:t>The Standard Contractual Clauses set out in the Annex of Commission Implementing Decision (EU) 2021/914 of 4 June 2021.</w:t>
            </w:r>
          </w:p>
        </w:tc>
      </w:tr>
      <w:tr w:rsidR="00054A4C" w:rsidRPr="00E6761E" w14:paraId="023A448E" w14:textId="77777777" w:rsidTr="00951D9E">
        <w:tc>
          <w:tcPr>
            <w:tcW w:w="1413" w:type="pct"/>
            <w:tcBorders>
              <w:right w:val="single" w:sz="4" w:space="0" w:color="FFC000"/>
            </w:tcBorders>
            <w:shd w:val="clear" w:color="auto" w:fill="FFF9DD"/>
          </w:tcPr>
          <w:p w14:paraId="51242BE6" w14:textId="7C86F5F2" w:rsidR="00E6761E" w:rsidRPr="002B2EB7" w:rsidRDefault="00E6761E" w:rsidP="00E6761E">
            <w:pPr>
              <w:pStyle w:val="Body"/>
              <w:rPr>
                <w:color w:val="003768"/>
              </w:rPr>
            </w:pPr>
            <w:r w:rsidRPr="002B2EB7">
              <w:rPr>
                <w:color w:val="003768"/>
              </w:rPr>
              <w:t>ICO</w:t>
            </w:r>
          </w:p>
        </w:tc>
        <w:tc>
          <w:tcPr>
            <w:tcW w:w="3587" w:type="pct"/>
            <w:tcBorders>
              <w:left w:val="single" w:sz="4" w:space="0" w:color="FFC000"/>
            </w:tcBorders>
          </w:tcPr>
          <w:p w14:paraId="73B502D3" w14:textId="60640CA2" w:rsidR="00E6761E" w:rsidRPr="00E6761E" w:rsidRDefault="00E6761E" w:rsidP="00E6761E">
            <w:pPr>
              <w:pStyle w:val="Body"/>
            </w:pPr>
            <w:r w:rsidRPr="00E6761E">
              <w:t>The Information Commissioner</w:t>
            </w:r>
            <w:r w:rsidR="009911AB">
              <w:t>.</w:t>
            </w:r>
          </w:p>
        </w:tc>
      </w:tr>
      <w:tr w:rsidR="00054A4C" w:rsidRPr="00E6761E" w14:paraId="79743FED" w14:textId="77777777" w:rsidTr="00951D9E">
        <w:tc>
          <w:tcPr>
            <w:tcW w:w="1413" w:type="pct"/>
            <w:tcBorders>
              <w:right w:val="single" w:sz="4" w:space="0" w:color="FFC000"/>
            </w:tcBorders>
            <w:shd w:val="clear" w:color="auto" w:fill="FFF9DD"/>
          </w:tcPr>
          <w:p w14:paraId="10649E48" w14:textId="60964B1C" w:rsidR="00E6761E" w:rsidRPr="002B2EB7" w:rsidRDefault="00E6761E" w:rsidP="00E6761E">
            <w:pPr>
              <w:pStyle w:val="Body"/>
              <w:rPr>
                <w:color w:val="003768"/>
              </w:rPr>
            </w:pPr>
            <w:r w:rsidRPr="002B2EB7">
              <w:rPr>
                <w:color w:val="003768"/>
              </w:rPr>
              <w:t>Restricted Transfer</w:t>
            </w:r>
          </w:p>
        </w:tc>
        <w:tc>
          <w:tcPr>
            <w:tcW w:w="3587" w:type="pct"/>
            <w:tcBorders>
              <w:left w:val="single" w:sz="4" w:space="0" w:color="FFC000"/>
            </w:tcBorders>
          </w:tcPr>
          <w:p w14:paraId="7F18E774" w14:textId="7617BF6D" w:rsidR="00E6761E" w:rsidRPr="00E6761E" w:rsidRDefault="00E6761E" w:rsidP="00E6761E">
            <w:pPr>
              <w:pStyle w:val="Body"/>
            </w:pPr>
            <w:r w:rsidRPr="00E6761E">
              <w:t>A transfer which is covered by Chapter V of the UK GDPR.</w:t>
            </w:r>
          </w:p>
        </w:tc>
      </w:tr>
      <w:tr w:rsidR="00054A4C" w:rsidRPr="00E6761E" w14:paraId="230E49F9" w14:textId="77777777" w:rsidTr="00951D9E">
        <w:tc>
          <w:tcPr>
            <w:tcW w:w="1413" w:type="pct"/>
            <w:tcBorders>
              <w:right w:val="single" w:sz="4" w:space="0" w:color="FFC000"/>
            </w:tcBorders>
            <w:shd w:val="clear" w:color="auto" w:fill="FFF9DD"/>
          </w:tcPr>
          <w:p w14:paraId="7BC571C9" w14:textId="00CC574E" w:rsidR="00E6761E" w:rsidRPr="002B2EB7" w:rsidRDefault="00E6761E" w:rsidP="00E6761E">
            <w:pPr>
              <w:pStyle w:val="Body"/>
              <w:rPr>
                <w:color w:val="003768"/>
              </w:rPr>
            </w:pPr>
            <w:r w:rsidRPr="002B2EB7">
              <w:rPr>
                <w:color w:val="003768"/>
              </w:rPr>
              <w:t xml:space="preserve">UK </w:t>
            </w:r>
          </w:p>
        </w:tc>
        <w:tc>
          <w:tcPr>
            <w:tcW w:w="3587" w:type="pct"/>
            <w:tcBorders>
              <w:left w:val="single" w:sz="4" w:space="0" w:color="FFC000"/>
            </w:tcBorders>
          </w:tcPr>
          <w:p w14:paraId="60AB349D" w14:textId="2C2FBB36" w:rsidR="00E6761E" w:rsidRPr="00E6761E" w:rsidRDefault="00E6761E" w:rsidP="00E6761E">
            <w:pPr>
              <w:pStyle w:val="Body"/>
            </w:pPr>
            <w:r w:rsidRPr="00E6761E">
              <w:t>The United Kingdom of Great Britain and Northern Ireland.</w:t>
            </w:r>
          </w:p>
        </w:tc>
      </w:tr>
      <w:tr w:rsidR="00054A4C" w:rsidRPr="00E6761E" w14:paraId="5028E1D6" w14:textId="77777777" w:rsidTr="00951D9E">
        <w:tc>
          <w:tcPr>
            <w:tcW w:w="1413" w:type="pct"/>
            <w:tcBorders>
              <w:right w:val="single" w:sz="4" w:space="0" w:color="FFC000"/>
            </w:tcBorders>
            <w:shd w:val="clear" w:color="auto" w:fill="FFF9DD"/>
          </w:tcPr>
          <w:p w14:paraId="76388E40" w14:textId="2F788C5A" w:rsidR="00E6761E" w:rsidRPr="002B2EB7" w:rsidRDefault="00E6761E" w:rsidP="00E6761E">
            <w:pPr>
              <w:pStyle w:val="Body"/>
              <w:rPr>
                <w:color w:val="003768"/>
              </w:rPr>
            </w:pPr>
            <w:r w:rsidRPr="002B2EB7">
              <w:rPr>
                <w:color w:val="003768"/>
              </w:rPr>
              <w:lastRenderedPageBreak/>
              <w:t>UK Data Protection</w:t>
            </w:r>
            <w:r w:rsidR="009E18EB" w:rsidRPr="002B2EB7">
              <w:rPr>
                <w:color w:val="003768"/>
              </w:rPr>
              <w:t xml:space="preserve"> Laws</w:t>
            </w:r>
            <w:r w:rsidRPr="002B2EB7">
              <w:rPr>
                <w:color w:val="003768"/>
              </w:rPr>
              <w:t xml:space="preserve"> </w:t>
            </w:r>
          </w:p>
        </w:tc>
        <w:tc>
          <w:tcPr>
            <w:tcW w:w="3587" w:type="pct"/>
            <w:tcBorders>
              <w:left w:val="single" w:sz="4" w:space="0" w:color="FFC000"/>
            </w:tcBorders>
          </w:tcPr>
          <w:p w14:paraId="72B62150" w14:textId="187D24A7" w:rsidR="00E6761E" w:rsidRPr="00E6761E" w:rsidRDefault="00E6761E" w:rsidP="00E6761E">
            <w:pPr>
              <w:pStyle w:val="Body"/>
            </w:pPr>
            <w:r w:rsidRPr="00E6761E">
              <w:t>All laws relating to data protection, the processing of personal data, privacy and/or electronic communications in force from time to time in the UK, including the UK GDPR and the Data Protection Act 2018.</w:t>
            </w:r>
          </w:p>
        </w:tc>
      </w:tr>
      <w:tr w:rsidR="00DF53A9" w:rsidRPr="00E6761E" w14:paraId="1BA386B8" w14:textId="77777777" w:rsidTr="00951D9E">
        <w:tc>
          <w:tcPr>
            <w:tcW w:w="1413" w:type="pct"/>
            <w:tcBorders>
              <w:bottom w:val="single" w:sz="18" w:space="0" w:color="FFC000"/>
              <w:right w:val="single" w:sz="4" w:space="0" w:color="FFC000"/>
            </w:tcBorders>
            <w:shd w:val="clear" w:color="auto" w:fill="FFF9DD"/>
          </w:tcPr>
          <w:p w14:paraId="4B6CBE9C" w14:textId="09217761" w:rsidR="00E6761E" w:rsidRPr="002B2EB7" w:rsidRDefault="00E6761E" w:rsidP="00E6761E">
            <w:pPr>
              <w:pStyle w:val="Body"/>
              <w:rPr>
                <w:color w:val="003768"/>
              </w:rPr>
            </w:pPr>
            <w:r w:rsidRPr="002B2EB7">
              <w:rPr>
                <w:color w:val="003768"/>
              </w:rPr>
              <w:t xml:space="preserve">UK GDPR </w:t>
            </w:r>
          </w:p>
        </w:tc>
        <w:tc>
          <w:tcPr>
            <w:tcW w:w="3587" w:type="pct"/>
            <w:tcBorders>
              <w:left w:val="single" w:sz="4" w:space="0" w:color="FFC000"/>
              <w:bottom w:val="single" w:sz="18" w:space="0" w:color="FFC000"/>
            </w:tcBorders>
          </w:tcPr>
          <w:p w14:paraId="25D947C8" w14:textId="7D6857E3" w:rsidR="00E6761E" w:rsidRPr="00E6761E" w:rsidRDefault="00E6761E" w:rsidP="00E6761E">
            <w:pPr>
              <w:pStyle w:val="Body"/>
            </w:pPr>
            <w:r w:rsidRPr="00E6761E">
              <w:t>As defined in section 3 of the Data Protection Act 2018.</w:t>
            </w:r>
          </w:p>
        </w:tc>
      </w:tr>
      <w:bookmarkEnd w:id="1"/>
    </w:tbl>
    <w:p w14:paraId="4AE1E47C" w14:textId="77777777" w:rsidR="00002C21" w:rsidRDefault="00002C21" w:rsidP="005F439A">
      <w:pPr>
        <w:spacing w:after="0"/>
        <w:ind w:left="360"/>
      </w:pPr>
    </w:p>
    <w:p w14:paraId="2C9A1990" w14:textId="5C215BEC" w:rsidR="00F04AD3" w:rsidRDefault="00BE6994" w:rsidP="00900707">
      <w:pPr>
        <w:pStyle w:val="NormalNumbered"/>
      </w:pPr>
      <w:r>
        <w:t>Th</w:t>
      </w:r>
      <w:r w:rsidR="002D2E8D">
        <w:t>is</w:t>
      </w:r>
      <w:r>
        <w:t xml:space="preserve"> </w:t>
      </w:r>
      <w:r w:rsidR="00054E4A">
        <w:t>A</w:t>
      </w:r>
      <w:r w:rsidR="00044704">
        <w:t>ddendum</w:t>
      </w:r>
      <w:r w:rsidR="00054E4A">
        <w:t xml:space="preserve"> </w:t>
      </w:r>
      <w:r w:rsidR="003A57D3">
        <w:t xml:space="preserve">must always </w:t>
      </w:r>
      <w:r>
        <w:t xml:space="preserve">be interpreted </w:t>
      </w:r>
      <w:r w:rsidR="003A57D3">
        <w:t xml:space="preserve">in a manner that is consistent with UK Data Protection Laws and so that </w:t>
      </w:r>
      <w:r w:rsidR="000C2C1D">
        <w:t xml:space="preserve">it </w:t>
      </w:r>
      <w:r w:rsidR="000C2C1D" w:rsidRPr="002C4C5E">
        <w:t xml:space="preserve">fulfils the </w:t>
      </w:r>
      <w:r w:rsidR="000C2C1D">
        <w:t xml:space="preserve">Parties’ </w:t>
      </w:r>
      <w:r w:rsidR="009E54F2">
        <w:t>obligation</w:t>
      </w:r>
      <w:r w:rsidR="009E54F2" w:rsidRPr="002C4C5E">
        <w:t xml:space="preserve"> </w:t>
      </w:r>
      <w:r w:rsidR="000C2C1D" w:rsidRPr="002C4C5E">
        <w:t xml:space="preserve">to provide </w:t>
      </w:r>
      <w:r w:rsidR="000C2C1D">
        <w:t>the A</w:t>
      </w:r>
      <w:r w:rsidR="000C2C1D" w:rsidRPr="002C4C5E">
        <w:t xml:space="preserve">ppropriate </w:t>
      </w:r>
      <w:r w:rsidR="000C2C1D">
        <w:t>S</w:t>
      </w:r>
      <w:r w:rsidR="000C2C1D" w:rsidRPr="002C4C5E">
        <w:t>afeguards</w:t>
      </w:r>
      <w:r>
        <w:t xml:space="preserve">. </w:t>
      </w:r>
    </w:p>
    <w:p w14:paraId="2A97F4FB" w14:textId="1BB93B10" w:rsidR="00E35ED1" w:rsidRDefault="00E35ED1" w:rsidP="00900707">
      <w:pPr>
        <w:pStyle w:val="NormalNumbered"/>
      </w:pPr>
      <w:r>
        <w:t xml:space="preserve">If the provisions included in the Addendum EU SCCs </w:t>
      </w:r>
      <w:r w:rsidR="00295403">
        <w:t xml:space="preserve">amend the Approved SCCs in any way which </w:t>
      </w:r>
      <w:r>
        <w:t>is not permitted under the Approved EU SCCs</w:t>
      </w:r>
      <w:r w:rsidR="00295403">
        <w:t xml:space="preserve"> or the Approved Addendum</w:t>
      </w:r>
      <w:r>
        <w:t xml:space="preserve">, </w:t>
      </w:r>
      <w:r w:rsidR="00295403">
        <w:t xml:space="preserve">such </w:t>
      </w:r>
      <w:r>
        <w:t>amendment</w:t>
      </w:r>
      <w:r w:rsidR="00295403">
        <w:t>(</w:t>
      </w:r>
      <w:r>
        <w:t>s</w:t>
      </w:r>
      <w:r w:rsidR="00295403">
        <w:t>)</w:t>
      </w:r>
      <w:r>
        <w:t xml:space="preserve"> will not be incorporated in this Addendum and the equivalent provision of the Approved EU SCCs will take </w:t>
      </w:r>
      <w:r w:rsidR="00295403">
        <w:t xml:space="preserve">their </w:t>
      </w:r>
      <w:r>
        <w:t>place.</w:t>
      </w:r>
    </w:p>
    <w:p w14:paraId="1349B347" w14:textId="012A3051" w:rsidR="003A57D3" w:rsidRPr="005F439A" w:rsidRDefault="003A57D3" w:rsidP="00900707">
      <w:pPr>
        <w:pStyle w:val="NormalNumbered"/>
      </w:pPr>
      <w:r>
        <w:t>If there is any inconsistency or conflict between UK Data Protection Laws and this A</w:t>
      </w:r>
      <w:r w:rsidR="00044704">
        <w:t>ddendum</w:t>
      </w:r>
      <w:r>
        <w:t>, UK Data Protection Laws applies.</w:t>
      </w:r>
    </w:p>
    <w:p w14:paraId="0D6F5D4C" w14:textId="4A8C4A0C" w:rsidR="003A57D3" w:rsidRDefault="003A57D3" w:rsidP="00900707">
      <w:pPr>
        <w:pStyle w:val="NormalNumbered"/>
      </w:pPr>
      <w:r>
        <w:t>If the meaning of th</w:t>
      </w:r>
      <w:r w:rsidR="001A20D4">
        <w:t>is</w:t>
      </w:r>
      <w:r>
        <w:t xml:space="preserve"> A</w:t>
      </w:r>
      <w:r w:rsidR="00044704">
        <w:t>ddendum</w:t>
      </w:r>
      <w:r>
        <w:t xml:space="preserve"> is unclear or there is more than one meaning, the meaning which most closely aligns with UK Data Protection Laws applies. </w:t>
      </w:r>
    </w:p>
    <w:p w14:paraId="4A518BF7" w14:textId="69E9FA8A" w:rsidR="009E54F2" w:rsidRDefault="00BE6994" w:rsidP="003A4A6F">
      <w:pPr>
        <w:pStyle w:val="NormalNumbered"/>
      </w:pPr>
      <w:r>
        <w:t>Any references to legislation (or specific provisions of legislation) means that legislation (or specific provision) as it may change over time. This includes where that legislation (or specific provision) has been consolidated, re</w:t>
      </w:r>
      <w:r w:rsidR="000067A9">
        <w:t>-</w:t>
      </w:r>
      <w:r>
        <w:t xml:space="preserve">enacted and/or replaced after this </w:t>
      </w:r>
      <w:r w:rsidR="00054E4A">
        <w:t>A</w:t>
      </w:r>
      <w:r w:rsidR="00044704">
        <w:t>ddendum</w:t>
      </w:r>
      <w:r w:rsidR="00054E4A">
        <w:t xml:space="preserve"> </w:t>
      </w:r>
      <w:r>
        <w:t xml:space="preserve">has been </w:t>
      </w:r>
      <w:proofErr w:type="gramStart"/>
      <w:r>
        <w:t>entered into</w:t>
      </w:r>
      <w:proofErr w:type="gramEnd"/>
      <w:r>
        <w:t xml:space="preserve">. </w:t>
      </w:r>
    </w:p>
    <w:p w14:paraId="35CA9631" w14:textId="77777777" w:rsidR="00F04AD3" w:rsidRDefault="00BE6994" w:rsidP="00A671EC">
      <w:pPr>
        <w:pStyle w:val="Heading3"/>
      </w:pPr>
      <w:r>
        <w:t xml:space="preserve">Hierarchy </w:t>
      </w:r>
    </w:p>
    <w:p w14:paraId="04E5C1AD" w14:textId="37F30B76" w:rsidR="00604711" w:rsidRDefault="00242447" w:rsidP="00900707">
      <w:pPr>
        <w:pStyle w:val="NormalNumbered"/>
      </w:pPr>
      <w:bookmarkStart w:id="7" w:name="_Ref90905648"/>
      <w:r>
        <w:t xml:space="preserve">Although Clause 5 of the </w:t>
      </w:r>
      <w:r w:rsidR="00514FC9">
        <w:t xml:space="preserve">Approved </w:t>
      </w:r>
      <w:r>
        <w:t xml:space="preserve">EU SCCs sets out that the </w:t>
      </w:r>
      <w:r w:rsidR="00514FC9">
        <w:t xml:space="preserve">Approved </w:t>
      </w:r>
      <w:r>
        <w:t xml:space="preserve">EU SCCs prevail over all related agreements between the parties, the parties agree that, for </w:t>
      </w:r>
      <w:r w:rsidR="000A3AD4">
        <w:t>Restricted</w:t>
      </w:r>
      <w:r w:rsidR="00DF4DC1">
        <w:t xml:space="preserve"> T</w:t>
      </w:r>
      <w:r>
        <w:t xml:space="preserve">ransfers, the hierarchy </w:t>
      </w:r>
      <w:r w:rsidRPr="00F3615F">
        <w:t xml:space="preserve">in </w:t>
      </w:r>
      <w:r w:rsidR="00EB64F5" w:rsidRPr="00F3615F">
        <w:t xml:space="preserve">Section </w:t>
      </w:r>
      <w:r w:rsidR="00EB64F5" w:rsidRPr="00F3615F">
        <w:fldChar w:fldCharType="begin"/>
      </w:r>
      <w:r w:rsidR="00EB64F5" w:rsidRPr="00F3615F">
        <w:instrText xml:space="preserve"> REF _Ref90905652 \r \h </w:instrText>
      </w:r>
      <w:r w:rsidR="00627E24" w:rsidRPr="00F3615F">
        <w:instrText xml:space="preserve"> \* MERGEFORMAT </w:instrText>
      </w:r>
      <w:r w:rsidR="00EB64F5" w:rsidRPr="00F3615F">
        <w:fldChar w:fldCharType="separate"/>
      </w:r>
      <w:r w:rsidR="00993F5E" w:rsidRPr="00993F5E">
        <w:rPr>
          <w:rFonts w:ascii="Arial" w:hAnsi="Arial" w:cs="Arial"/>
          <w:cs/>
        </w:rPr>
        <w:t>‎</w:t>
      </w:r>
      <w:r w:rsidR="00993F5E">
        <w:t>10</w:t>
      </w:r>
      <w:r w:rsidR="00EB64F5" w:rsidRPr="00F3615F">
        <w:fldChar w:fldCharType="end"/>
      </w:r>
      <w:r w:rsidR="00604711">
        <w:t xml:space="preserve"> </w:t>
      </w:r>
      <w:r>
        <w:t>will prevail.</w:t>
      </w:r>
      <w:bookmarkEnd w:id="7"/>
    </w:p>
    <w:p w14:paraId="1CD2806D" w14:textId="4528B653" w:rsidR="00EB64F5" w:rsidRDefault="004B0FC0" w:rsidP="00900707">
      <w:pPr>
        <w:pStyle w:val="NormalNumbered"/>
      </w:pPr>
      <w:bookmarkStart w:id="8" w:name="_Ref90905652"/>
      <w:r w:rsidRPr="005F439A">
        <w:t>W</w:t>
      </w:r>
      <w:r w:rsidR="00865611" w:rsidRPr="005F439A">
        <w:t xml:space="preserve">here </w:t>
      </w:r>
      <w:r w:rsidR="0055223E" w:rsidRPr="005F439A">
        <w:t xml:space="preserve">there is any inconsistency or conflict between </w:t>
      </w:r>
      <w:r w:rsidR="00A03793">
        <w:t xml:space="preserve">the </w:t>
      </w:r>
      <w:r w:rsidR="001E4E1C">
        <w:t>Approved</w:t>
      </w:r>
      <w:r w:rsidR="0055223E" w:rsidRPr="005F439A">
        <w:t xml:space="preserve"> Addendum and the </w:t>
      </w:r>
      <w:r w:rsidR="00EB64F5">
        <w:t xml:space="preserve">Addendum </w:t>
      </w:r>
      <w:r w:rsidR="002D2E8D">
        <w:t xml:space="preserve">EU </w:t>
      </w:r>
      <w:r w:rsidR="00EB64F5">
        <w:t>SCCs (as applicable)</w:t>
      </w:r>
      <w:r w:rsidR="003F7FA7" w:rsidRPr="005F439A">
        <w:t xml:space="preserve">, </w:t>
      </w:r>
      <w:r w:rsidR="00A03793">
        <w:t xml:space="preserve">the </w:t>
      </w:r>
      <w:r w:rsidR="001E4E1C">
        <w:t>Approved</w:t>
      </w:r>
      <w:r w:rsidR="003F7FA7" w:rsidRPr="005F439A">
        <w:t xml:space="preserve"> </w:t>
      </w:r>
      <w:r w:rsidR="002C0FE5" w:rsidRPr="005F439A">
        <w:t xml:space="preserve">Addendum </w:t>
      </w:r>
      <w:r w:rsidR="0055223E" w:rsidRPr="005F439A">
        <w:t xml:space="preserve">overrides the </w:t>
      </w:r>
      <w:r w:rsidR="00EB64F5">
        <w:t xml:space="preserve">Addendum </w:t>
      </w:r>
      <w:r w:rsidR="002D2E8D">
        <w:t xml:space="preserve">EU </w:t>
      </w:r>
      <w:r w:rsidR="00EB64F5">
        <w:t>SCCs</w:t>
      </w:r>
      <w:r w:rsidR="002C0FE5" w:rsidRPr="005F439A">
        <w:t xml:space="preserve">, </w:t>
      </w:r>
      <w:r w:rsidR="0055223E" w:rsidRPr="005F439A">
        <w:t xml:space="preserve">except where (and in so far as) the inconsistent or conflicting terms of the </w:t>
      </w:r>
      <w:r w:rsidR="00EB64F5">
        <w:t xml:space="preserve">Addendum </w:t>
      </w:r>
      <w:r w:rsidR="002D2E8D">
        <w:t xml:space="preserve">EU </w:t>
      </w:r>
      <w:r w:rsidR="00EB64F5">
        <w:t>SCCs</w:t>
      </w:r>
      <w:r w:rsidR="00EB64F5" w:rsidRPr="005F439A">
        <w:t xml:space="preserve"> </w:t>
      </w:r>
      <w:r w:rsidR="0055223E" w:rsidRPr="005F439A">
        <w:t>provide</w:t>
      </w:r>
      <w:r w:rsidR="002C0FE5" w:rsidRPr="005F439A">
        <w:t>s</w:t>
      </w:r>
      <w:r w:rsidR="0055223E" w:rsidRPr="005F439A">
        <w:t xml:space="preserve"> greater protection for data subjects, in which case those terms will override the </w:t>
      </w:r>
      <w:r w:rsidR="001E4E1C">
        <w:t xml:space="preserve">Approved </w:t>
      </w:r>
      <w:r w:rsidR="0055223E" w:rsidRPr="005F439A">
        <w:t>Addendum</w:t>
      </w:r>
      <w:r w:rsidR="002C0FE5" w:rsidRPr="005F439A">
        <w:t>.</w:t>
      </w:r>
    </w:p>
    <w:p w14:paraId="025C9FB3" w14:textId="0F7872EF" w:rsidR="00E9120A" w:rsidRPr="005F439A" w:rsidRDefault="00A03793" w:rsidP="003A4A6F">
      <w:pPr>
        <w:pStyle w:val="NormalNumbered"/>
      </w:pPr>
      <w:bookmarkStart w:id="9" w:name="_Ref90906696"/>
      <w:r>
        <w:t>Where</w:t>
      </w:r>
      <w:r w:rsidR="00EE74CE">
        <w:t xml:space="preserve"> this Addendum incorporates </w:t>
      </w:r>
      <w:r w:rsidR="002D2E8D">
        <w:t xml:space="preserve">Addendum </w:t>
      </w:r>
      <w:r w:rsidR="00EE74CE">
        <w:t xml:space="preserve">EU SCCs </w:t>
      </w:r>
      <w:r w:rsidR="002D2E8D">
        <w:t xml:space="preserve">which have been entered into to protect transfers subject to the General Data Protection </w:t>
      </w:r>
      <w:r w:rsidR="002D2E8D">
        <w:lastRenderedPageBreak/>
        <w:t xml:space="preserve">Regulation </w:t>
      </w:r>
      <w:r w:rsidR="0076036F">
        <w:t xml:space="preserve">(EU) </w:t>
      </w:r>
      <w:r w:rsidR="002D2E8D">
        <w:t xml:space="preserve">2016/679 </w:t>
      </w:r>
      <w:r w:rsidR="00EE74CE">
        <w:t xml:space="preserve">then the Parties acknowledge that nothing in this Addendum impacts </w:t>
      </w:r>
      <w:r w:rsidR="002D2E8D">
        <w:t xml:space="preserve">those Addendum </w:t>
      </w:r>
      <w:r w:rsidR="00EE74CE">
        <w:t>EU SCCs.</w:t>
      </w:r>
      <w:bookmarkEnd w:id="8"/>
      <w:bookmarkEnd w:id="9"/>
    </w:p>
    <w:p w14:paraId="27B741E8" w14:textId="03AF2BFC" w:rsidR="00F04AD3" w:rsidRDefault="00BE6994" w:rsidP="00A671EC">
      <w:pPr>
        <w:pStyle w:val="Heading3"/>
      </w:pPr>
      <w:r>
        <w:t xml:space="preserve">Incorporation of </w:t>
      </w:r>
      <w:r w:rsidR="00604711">
        <w:t xml:space="preserve">and changes to </w:t>
      </w:r>
      <w:r>
        <w:t xml:space="preserve">the </w:t>
      </w:r>
      <w:r w:rsidR="004F6A09">
        <w:t>EU SCCs</w:t>
      </w:r>
    </w:p>
    <w:p w14:paraId="3C681F53" w14:textId="5F66F1CB" w:rsidR="00F04AD3" w:rsidRDefault="00BE6994" w:rsidP="00A671EC">
      <w:pPr>
        <w:pStyle w:val="NormalNumbered"/>
      </w:pPr>
      <w:bookmarkStart w:id="10" w:name="_Ref90906729"/>
      <w:bookmarkStart w:id="11" w:name="_Hlk92876330"/>
      <w:r>
        <w:t xml:space="preserve">This </w:t>
      </w:r>
      <w:r w:rsidR="00A03793">
        <w:t>Addendum</w:t>
      </w:r>
      <w:r w:rsidR="00054E4A">
        <w:t xml:space="preserve"> </w:t>
      </w:r>
      <w:r>
        <w:t xml:space="preserve">incorporates the </w:t>
      </w:r>
      <w:r w:rsidR="00514FC9">
        <w:t xml:space="preserve">Addendum </w:t>
      </w:r>
      <w:r w:rsidR="00935628">
        <w:t xml:space="preserve">EU SCCs </w:t>
      </w:r>
      <w:r w:rsidR="006566AA">
        <w:t xml:space="preserve">which are </w:t>
      </w:r>
      <w:r w:rsidRPr="00145894">
        <w:t xml:space="preserve">amended </w:t>
      </w:r>
      <w:r w:rsidRPr="002C3871">
        <w:t>to the extent necessary</w:t>
      </w:r>
      <w:r>
        <w:t xml:space="preserve"> so </w:t>
      </w:r>
      <w:r w:rsidR="006566AA">
        <w:t>that</w:t>
      </w:r>
      <w:r>
        <w:t>:</w:t>
      </w:r>
      <w:bookmarkEnd w:id="10"/>
    </w:p>
    <w:p w14:paraId="3E61827B" w14:textId="771F9C72" w:rsidR="000B6BCE" w:rsidRDefault="006566AA" w:rsidP="009C3AB9">
      <w:pPr>
        <w:numPr>
          <w:ilvl w:val="1"/>
          <w:numId w:val="3"/>
        </w:numPr>
        <w:ind w:left="1077" w:hanging="357"/>
      </w:pPr>
      <w:r>
        <w:t xml:space="preserve">together they operate </w:t>
      </w:r>
      <w:r w:rsidR="00BE6994">
        <w:t xml:space="preserve">for </w:t>
      </w:r>
      <w:r w:rsidR="00150473">
        <w:t xml:space="preserve">data </w:t>
      </w:r>
      <w:r w:rsidR="00BE6994" w:rsidRPr="005F439A">
        <w:t>transfers</w:t>
      </w:r>
      <w:r w:rsidR="00BE6994">
        <w:t xml:space="preserve"> made by the data exporter to the data importer, to the extent that UK Data Protection Laws apply to the data exporter’s processing when making that </w:t>
      </w:r>
      <w:r w:rsidR="006A1EAC">
        <w:t xml:space="preserve">data </w:t>
      </w:r>
      <w:r w:rsidR="00BE6994">
        <w:t>transfer</w:t>
      </w:r>
      <w:r>
        <w:t xml:space="preserve">, and </w:t>
      </w:r>
      <w:r w:rsidR="00B84DCE">
        <w:t xml:space="preserve">they </w:t>
      </w:r>
      <w:r w:rsidR="00BE6994">
        <w:t xml:space="preserve">provide </w:t>
      </w:r>
      <w:r w:rsidR="00E07429">
        <w:t>A</w:t>
      </w:r>
      <w:r w:rsidR="00BE6994">
        <w:t xml:space="preserve">ppropriate </w:t>
      </w:r>
      <w:r w:rsidR="00E07429">
        <w:t>S</w:t>
      </w:r>
      <w:r w:rsidR="00BE6994">
        <w:t>afeguards for th</w:t>
      </w:r>
      <w:r w:rsidR="00E07429">
        <w:t>os</w:t>
      </w:r>
      <w:r w:rsidR="00BE6994">
        <w:t xml:space="preserve">e </w:t>
      </w:r>
      <w:r w:rsidR="006A1EAC">
        <w:t xml:space="preserve">data </w:t>
      </w:r>
      <w:proofErr w:type="gramStart"/>
      <w:r w:rsidR="00BE6994">
        <w:t>transfers</w:t>
      </w:r>
      <w:r w:rsidR="000B6BCE">
        <w:t>;</w:t>
      </w:r>
      <w:proofErr w:type="gramEnd"/>
      <w:r w:rsidR="00DD3D17">
        <w:t xml:space="preserve"> </w:t>
      </w:r>
    </w:p>
    <w:p w14:paraId="0F752055" w14:textId="357FCC88" w:rsidR="00E9120A" w:rsidRDefault="000B6BCE" w:rsidP="00A671EC">
      <w:pPr>
        <w:numPr>
          <w:ilvl w:val="1"/>
          <w:numId w:val="3"/>
        </w:numPr>
        <w:ind w:left="1077" w:hanging="357"/>
      </w:pPr>
      <w:r w:rsidRPr="00837458">
        <w:t>Section</w:t>
      </w:r>
      <w:r w:rsidR="002D2E8D" w:rsidRPr="00837458">
        <w:t xml:space="preserve">s </w:t>
      </w:r>
      <w:r w:rsidR="002D2E8D" w:rsidRPr="00837458">
        <w:fldChar w:fldCharType="begin"/>
      </w:r>
      <w:r w:rsidR="002D2E8D" w:rsidRPr="00837458">
        <w:instrText xml:space="preserve"> REF _Ref90905648 \r \h </w:instrText>
      </w:r>
      <w:r w:rsidR="00D91BDE" w:rsidRPr="00837458">
        <w:instrText xml:space="preserve"> \* MERGEFORMAT </w:instrText>
      </w:r>
      <w:r w:rsidR="002D2E8D" w:rsidRPr="00837458">
        <w:fldChar w:fldCharType="separate"/>
      </w:r>
      <w:r w:rsidR="00993F5E" w:rsidRPr="00993F5E">
        <w:rPr>
          <w:rFonts w:ascii="Arial" w:hAnsi="Arial" w:cs="Arial"/>
          <w:cs/>
        </w:rPr>
        <w:t>‎</w:t>
      </w:r>
      <w:r w:rsidR="00993F5E">
        <w:t>9</w:t>
      </w:r>
      <w:r w:rsidR="002D2E8D" w:rsidRPr="00837458">
        <w:fldChar w:fldCharType="end"/>
      </w:r>
      <w:r w:rsidR="002D2E8D" w:rsidRPr="00837458">
        <w:t xml:space="preserve"> to </w:t>
      </w:r>
      <w:r w:rsidR="002D2E8D" w:rsidRPr="00837458">
        <w:fldChar w:fldCharType="begin"/>
      </w:r>
      <w:r w:rsidR="002D2E8D" w:rsidRPr="00837458">
        <w:instrText xml:space="preserve"> REF _Ref90906696 \r \h </w:instrText>
      </w:r>
      <w:r w:rsidR="00D91BDE" w:rsidRPr="00837458">
        <w:instrText xml:space="preserve"> \* MERGEFORMAT </w:instrText>
      </w:r>
      <w:r w:rsidR="002D2E8D" w:rsidRPr="00837458">
        <w:fldChar w:fldCharType="separate"/>
      </w:r>
      <w:r w:rsidR="00993F5E" w:rsidRPr="00993F5E">
        <w:rPr>
          <w:rFonts w:ascii="Arial" w:hAnsi="Arial" w:cs="Arial"/>
          <w:cs/>
        </w:rPr>
        <w:t>‎</w:t>
      </w:r>
      <w:r w:rsidR="00993F5E">
        <w:t>11</w:t>
      </w:r>
      <w:r w:rsidR="002D2E8D" w:rsidRPr="00837458">
        <w:fldChar w:fldCharType="end"/>
      </w:r>
      <w:r w:rsidRPr="00837458">
        <w:t xml:space="preserve"> </w:t>
      </w:r>
      <w:r w:rsidR="00DD3D17" w:rsidRPr="00837458">
        <w:t>override</w:t>
      </w:r>
      <w:r w:rsidR="00DD3D17">
        <w:t xml:space="preserve"> Clause 5 </w:t>
      </w:r>
      <w:r w:rsidR="00DB653D">
        <w:t>(</w:t>
      </w:r>
      <w:r w:rsidR="00DD3D17">
        <w:t>Hierarchy</w:t>
      </w:r>
      <w:r w:rsidR="00DB653D">
        <w:t>)</w:t>
      </w:r>
      <w:r w:rsidR="00DD3D17">
        <w:t xml:space="preserve"> of the </w:t>
      </w:r>
      <w:r w:rsidR="006850B0">
        <w:t>Addendum</w:t>
      </w:r>
      <w:r w:rsidR="00181D2F">
        <w:t xml:space="preserve"> </w:t>
      </w:r>
      <w:r w:rsidR="00DD3D17">
        <w:t>EU SCCs</w:t>
      </w:r>
      <w:r w:rsidR="006566AA">
        <w:t>;</w:t>
      </w:r>
      <w:r w:rsidR="00B84DCE">
        <w:t xml:space="preserve"> and</w:t>
      </w:r>
    </w:p>
    <w:p w14:paraId="1E6665C8" w14:textId="4E705F84" w:rsidR="00F04AD3" w:rsidRDefault="00B84DCE" w:rsidP="00A671EC">
      <w:pPr>
        <w:numPr>
          <w:ilvl w:val="1"/>
          <w:numId w:val="3"/>
        </w:numPr>
        <w:ind w:left="1077" w:hanging="357"/>
        <w:jc w:val="both"/>
      </w:pPr>
      <w:r>
        <w:t>t</w:t>
      </w:r>
      <w:r w:rsidR="006566AA">
        <w:t>h</w:t>
      </w:r>
      <w:r>
        <w:t xml:space="preserve">is </w:t>
      </w:r>
      <w:r w:rsidR="006566AA">
        <w:t xml:space="preserve">Addendum (including the Addendum EU SCCs incorporated into it) is (1) governed </w:t>
      </w:r>
      <w:r w:rsidR="00897060" w:rsidRPr="00897060">
        <w:t>by the laws of England and Wales</w:t>
      </w:r>
      <w:r w:rsidR="00897060">
        <w:t xml:space="preserve"> </w:t>
      </w:r>
      <w:r w:rsidR="006566AA">
        <w:t xml:space="preserve">and (2) </w:t>
      </w:r>
      <w:r w:rsidR="00897060">
        <w:t>a</w:t>
      </w:r>
      <w:r w:rsidR="00897060" w:rsidRPr="00897060">
        <w:t>ny dispute arising</w:t>
      </w:r>
      <w:r>
        <w:t xml:space="preserve"> from it</w:t>
      </w:r>
      <w:r w:rsidR="00897060" w:rsidRPr="00897060">
        <w:t xml:space="preserve"> </w:t>
      </w:r>
      <w:r w:rsidR="00897060">
        <w:t xml:space="preserve">is </w:t>
      </w:r>
      <w:r w:rsidR="00897060" w:rsidRPr="00897060">
        <w:t>resolved by the courts of England and Wales</w:t>
      </w:r>
      <w:r w:rsidR="00897060">
        <w:t xml:space="preserve">, </w:t>
      </w:r>
      <w:r>
        <w:t xml:space="preserve">in each case </w:t>
      </w:r>
      <w:r w:rsidR="00897060">
        <w:t xml:space="preserve">unless the </w:t>
      </w:r>
      <w:r>
        <w:t xml:space="preserve">laws and/or </w:t>
      </w:r>
      <w:r w:rsidR="00897060">
        <w:t xml:space="preserve">courts of </w:t>
      </w:r>
      <w:r>
        <w:t xml:space="preserve">Scotland or Northern Ireland </w:t>
      </w:r>
      <w:r w:rsidR="00897060">
        <w:t>have been expressly selected by the Parties</w:t>
      </w:r>
      <w:r w:rsidR="00E07429">
        <w:t>.</w:t>
      </w:r>
    </w:p>
    <w:p w14:paraId="10616C84" w14:textId="14190C16" w:rsidR="00145894" w:rsidRDefault="00145894" w:rsidP="00A671EC">
      <w:pPr>
        <w:pStyle w:val="NormalNumbered"/>
      </w:pPr>
      <w:bookmarkStart w:id="12" w:name="_Ref90907070"/>
      <w:bookmarkEnd w:id="11"/>
      <w:r w:rsidRPr="00CD237C">
        <w:t xml:space="preserve">Unless the Parties have agreed alternative amendments which meet the requirements of Section </w:t>
      </w:r>
      <w:r w:rsidRPr="00CD237C">
        <w:fldChar w:fldCharType="begin"/>
      </w:r>
      <w:r w:rsidRPr="00CD237C">
        <w:instrText xml:space="preserve"> REF _Ref90906729 \r \h  \* MERGEFORMAT </w:instrText>
      </w:r>
      <w:r w:rsidRPr="00CD237C">
        <w:fldChar w:fldCharType="separate"/>
      </w:r>
      <w:r w:rsidR="00993F5E" w:rsidRPr="00993F5E">
        <w:rPr>
          <w:rFonts w:ascii="Arial" w:hAnsi="Arial" w:cs="Arial"/>
          <w:cs/>
        </w:rPr>
        <w:t>‎</w:t>
      </w:r>
      <w:r w:rsidR="00993F5E">
        <w:t>12</w:t>
      </w:r>
      <w:r w:rsidRPr="00CD237C">
        <w:fldChar w:fldCharType="end"/>
      </w:r>
      <w:r w:rsidRPr="00CD237C">
        <w:t xml:space="preserve">, the provisions of Section </w:t>
      </w:r>
      <w:r w:rsidR="0072665F" w:rsidRPr="00CD237C">
        <w:fldChar w:fldCharType="begin"/>
      </w:r>
      <w:r w:rsidR="0072665F" w:rsidRPr="00CD237C">
        <w:instrText xml:space="preserve"> REF _Ref90907321 \r \h </w:instrText>
      </w:r>
      <w:r w:rsidR="00CD237C">
        <w:instrText xml:space="preserve"> \* MERGEFORMAT </w:instrText>
      </w:r>
      <w:r w:rsidR="0072665F" w:rsidRPr="00CD237C">
        <w:fldChar w:fldCharType="separate"/>
      </w:r>
      <w:r w:rsidR="00993F5E" w:rsidRPr="00993F5E">
        <w:rPr>
          <w:rFonts w:ascii="Arial" w:hAnsi="Arial" w:cs="Arial"/>
          <w:cs/>
        </w:rPr>
        <w:t>‎</w:t>
      </w:r>
      <w:r w:rsidR="00993F5E">
        <w:t>15</w:t>
      </w:r>
      <w:r w:rsidR="0072665F" w:rsidRPr="00CD237C">
        <w:fldChar w:fldCharType="end"/>
      </w:r>
      <w:r w:rsidRPr="00CD237C">
        <w:t xml:space="preserve"> will apply</w:t>
      </w:r>
      <w:r w:rsidRPr="00145894">
        <w:t>.</w:t>
      </w:r>
    </w:p>
    <w:p w14:paraId="548E28F6" w14:textId="0CE6B2E2" w:rsidR="002B15C4" w:rsidRPr="00145894" w:rsidRDefault="002B15C4" w:rsidP="00A671EC">
      <w:pPr>
        <w:pStyle w:val="NormalNumbered"/>
      </w:pPr>
      <w:r>
        <w:t xml:space="preserve">No amendments to the Approved EU SCCs other than to </w:t>
      </w:r>
      <w:r w:rsidRPr="00145894">
        <w:t xml:space="preserve">meet the requirements of Section </w:t>
      </w:r>
      <w:r w:rsidRPr="00837458">
        <w:fldChar w:fldCharType="begin"/>
      </w:r>
      <w:r w:rsidRPr="00837458">
        <w:instrText xml:space="preserve"> REF _Ref90906729 \r \h  \* MERGEFORMAT </w:instrText>
      </w:r>
      <w:r w:rsidRPr="00837458">
        <w:fldChar w:fldCharType="separate"/>
      </w:r>
      <w:r w:rsidR="00993F5E" w:rsidRPr="00993F5E">
        <w:rPr>
          <w:rFonts w:ascii="Arial" w:hAnsi="Arial" w:cs="Arial"/>
          <w:cs/>
        </w:rPr>
        <w:t>‎</w:t>
      </w:r>
      <w:r w:rsidR="00993F5E">
        <w:t>12</w:t>
      </w:r>
      <w:r w:rsidRPr="00837458">
        <w:fldChar w:fldCharType="end"/>
      </w:r>
      <w:r>
        <w:t xml:space="preserve"> may be made.</w:t>
      </w:r>
    </w:p>
    <w:p w14:paraId="595B5FFB" w14:textId="5A5AE8F8" w:rsidR="00F04AD3" w:rsidRPr="00145894" w:rsidRDefault="00BE6994" w:rsidP="00A671EC">
      <w:pPr>
        <w:pStyle w:val="NormalNumbered"/>
      </w:pPr>
      <w:bookmarkStart w:id="13" w:name="_Ref90907321"/>
      <w:r w:rsidRPr="00145894">
        <w:t xml:space="preserve">The </w:t>
      </w:r>
      <w:r w:rsidR="00AC0B90">
        <w:t xml:space="preserve">following </w:t>
      </w:r>
      <w:r w:rsidRPr="00145894">
        <w:t xml:space="preserve">amendments </w:t>
      </w:r>
      <w:r w:rsidR="00AC0B90">
        <w:t xml:space="preserve">to the Addendum EU SCCs </w:t>
      </w:r>
      <w:r w:rsidR="009171A7">
        <w:t xml:space="preserve">(for the purpose of </w:t>
      </w:r>
      <w:r w:rsidRPr="00145894">
        <w:t xml:space="preserve">Section </w:t>
      </w:r>
      <w:r w:rsidR="00145894" w:rsidRPr="00145894">
        <w:fldChar w:fldCharType="begin"/>
      </w:r>
      <w:r w:rsidR="00145894" w:rsidRPr="00145894">
        <w:instrText xml:space="preserve"> REF _Ref90906729 \r \h </w:instrText>
      </w:r>
      <w:r w:rsidR="00145894">
        <w:instrText xml:space="preserve"> \* MERGEFORMAT </w:instrText>
      </w:r>
      <w:r w:rsidR="00145894" w:rsidRPr="00145894">
        <w:fldChar w:fldCharType="separate"/>
      </w:r>
      <w:r w:rsidR="00993F5E" w:rsidRPr="00993F5E">
        <w:rPr>
          <w:rFonts w:ascii="Arial" w:hAnsi="Arial" w:cs="Arial"/>
          <w:cs/>
        </w:rPr>
        <w:t>‎</w:t>
      </w:r>
      <w:r w:rsidR="00993F5E">
        <w:t>12</w:t>
      </w:r>
      <w:r w:rsidR="00145894" w:rsidRPr="00145894">
        <w:fldChar w:fldCharType="end"/>
      </w:r>
      <w:r w:rsidR="009171A7">
        <w:t>) are made</w:t>
      </w:r>
      <w:r w:rsidRPr="00145894">
        <w:t>:</w:t>
      </w:r>
      <w:bookmarkEnd w:id="12"/>
      <w:bookmarkEnd w:id="13"/>
      <w:r w:rsidRPr="00145894">
        <w:t xml:space="preserve"> </w:t>
      </w:r>
    </w:p>
    <w:p w14:paraId="217DF99D" w14:textId="37424CE9" w:rsidR="00F04AD3" w:rsidRPr="00145894" w:rsidRDefault="00BE6994" w:rsidP="00A671EC">
      <w:pPr>
        <w:numPr>
          <w:ilvl w:val="0"/>
          <w:numId w:val="8"/>
        </w:numPr>
        <w:ind w:hanging="360"/>
      </w:pPr>
      <w:r w:rsidRPr="00145894">
        <w:t xml:space="preserve">References to the “Clauses” means this </w:t>
      </w:r>
      <w:r w:rsidR="00054E4A" w:rsidRPr="00145894">
        <w:t>A</w:t>
      </w:r>
      <w:r w:rsidR="004562D8" w:rsidRPr="00145894">
        <w:t>ddendum</w:t>
      </w:r>
      <w:r w:rsidR="00145894">
        <w:t xml:space="preserve">, incorporating the </w:t>
      </w:r>
      <w:r w:rsidR="009D32E8">
        <w:t xml:space="preserve">Addendum </w:t>
      </w:r>
      <w:r w:rsidR="00145894">
        <w:t xml:space="preserve">EU </w:t>
      </w:r>
      <w:proofErr w:type="gramStart"/>
      <w:r w:rsidR="00145894">
        <w:t>SCCs</w:t>
      </w:r>
      <w:r w:rsidR="000C5CBB" w:rsidRPr="00145894">
        <w:t>;</w:t>
      </w:r>
      <w:proofErr w:type="gramEnd"/>
    </w:p>
    <w:p w14:paraId="7D142B64" w14:textId="77777777" w:rsidR="00654081" w:rsidRDefault="00654081" w:rsidP="00654081">
      <w:pPr>
        <w:numPr>
          <w:ilvl w:val="0"/>
          <w:numId w:val="8"/>
        </w:numPr>
        <w:ind w:hanging="360"/>
      </w:pPr>
      <w:r>
        <w:t>In Clause 2, delete the words:</w:t>
      </w:r>
    </w:p>
    <w:p w14:paraId="09D19FBB" w14:textId="77777777" w:rsidR="00654081" w:rsidRDefault="00654081" w:rsidP="00654081">
      <w:pPr>
        <w:ind w:left="1440"/>
      </w:pPr>
      <w:r>
        <w:t>“</w:t>
      </w:r>
      <w:proofErr w:type="gramStart"/>
      <w:r>
        <w:t>and</w:t>
      </w:r>
      <w:proofErr w:type="gramEnd"/>
      <w:r>
        <w:t>, with respect to data transfers from controllers to processors and/or processors to processors, standard contractual clauses pursuant to Article 28(7) of Regulation (EU) 2016/679</w:t>
      </w:r>
      <w:proofErr w:type="gramStart"/>
      <w:r>
        <w:t>”;</w:t>
      </w:r>
      <w:proofErr w:type="gramEnd"/>
    </w:p>
    <w:p w14:paraId="78DDBA86" w14:textId="5C9452EE" w:rsidR="00F04AD3" w:rsidRDefault="00BE6994" w:rsidP="00A671EC">
      <w:pPr>
        <w:numPr>
          <w:ilvl w:val="0"/>
          <w:numId w:val="8"/>
        </w:numPr>
        <w:ind w:hanging="360"/>
      </w:pPr>
      <w:r>
        <w:t xml:space="preserve">Clause 6 </w:t>
      </w:r>
      <w:r w:rsidR="00145894">
        <w:t>(</w:t>
      </w:r>
      <w:r>
        <w:t>Description of the transfer(s)</w:t>
      </w:r>
      <w:r w:rsidR="00145894">
        <w:t>)</w:t>
      </w:r>
      <w:r>
        <w:t xml:space="preserve"> is replaced with:</w:t>
      </w:r>
    </w:p>
    <w:p w14:paraId="6D499340" w14:textId="3A8CE5C3" w:rsidR="00F04AD3" w:rsidRPr="009A7EC8" w:rsidRDefault="00BE6994" w:rsidP="00A671EC">
      <w:pPr>
        <w:ind w:left="1440"/>
      </w:pPr>
      <w:r w:rsidRPr="009A7EC8">
        <w:t xml:space="preserve">“The details of the transfers(s) and in particular the categories of personal data that are transferred and the purpose(s) for which they are transferred) are those specified in </w:t>
      </w:r>
      <w:r w:rsidRPr="009171A7">
        <w:t xml:space="preserve">Annex I.B </w:t>
      </w:r>
      <w:r w:rsidR="00AB4359" w:rsidRPr="009171A7">
        <w:t>where UK Data Prot</w:t>
      </w:r>
      <w:r w:rsidRPr="009171A7">
        <w:t>ection Laws apply to the data exporter’s p</w:t>
      </w:r>
      <w:r w:rsidRPr="009A7EC8">
        <w:t>rocessing when making that transfer.</w:t>
      </w:r>
      <w:proofErr w:type="gramStart"/>
      <w:r w:rsidRPr="009A7EC8">
        <w:t>”</w:t>
      </w:r>
      <w:r w:rsidR="00F52A62">
        <w:t>;</w:t>
      </w:r>
      <w:proofErr w:type="gramEnd"/>
    </w:p>
    <w:p w14:paraId="56F69220" w14:textId="77777777" w:rsidR="00654081" w:rsidRDefault="00654081" w:rsidP="00654081">
      <w:pPr>
        <w:numPr>
          <w:ilvl w:val="0"/>
          <w:numId w:val="8"/>
        </w:numPr>
        <w:ind w:hanging="360"/>
      </w:pPr>
      <w:r>
        <w:t>Clause 8.7(</w:t>
      </w:r>
      <w:proofErr w:type="spellStart"/>
      <w:r>
        <w:t>i</w:t>
      </w:r>
      <w:proofErr w:type="spellEnd"/>
      <w:r>
        <w:t>) of Module 1 is replaced with:</w:t>
      </w:r>
    </w:p>
    <w:p w14:paraId="4C50ADD1" w14:textId="77777777" w:rsidR="00654081" w:rsidRDefault="00654081" w:rsidP="00654081">
      <w:pPr>
        <w:ind w:left="1440"/>
      </w:pPr>
      <w:r>
        <w:lastRenderedPageBreak/>
        <w:t>“</w:t>
      </w:r>
      <w:proofErr w:type="gramStart"/>
      <w:r>
        <w:t>it</w:t>
      </w:r>
      <w:proofErr w:type="gramEnd"/>
      <w:r>
        <w:t xml:space="preserve"> is to a country benefitting from adequacy regulations pursuant to Section 17A of the UK GDPR that covers the onward transfer</w:t>
      </w:r>
      <w:proofErr w:type="gramStart"/>
      <w:r>
        <w:t>”;</w:t>
      </w:r>
      <w:proofErr w:type="gramEnd"/>
    </w:p>
    <w:p w14:paraId="4E28FCBF" w14:textId="77777777" w:rsidR="00654081" w:rsidRDefault="00654081" w:rsidP="00654081">
      <w:pPr>
        <w:numPr>
          <w:ilvl w:val="0"/>
          <w:numId w:val="8"/>
        </w:numPr>
        <w:ind w:hanging="360"/>
      </w:pPr>
      <w:r>
        <w:t>Clause 8.8(</w:t>
      </w:r>
      <w:proofErr w:type="spellStart"/>
      <w:r>
        <w:t>i</w:t>
      </w:r>
      <w:proofErr w:type="spellEnd"/>
      <w:r>
        <w:t>) of Modules 2 and 3 is replaced with:</w:t>
      </w:r>
    </w:p>
    <w:p w14:paraId="157512B7" w14:textId="77777777" w:rsidR="00654081" w:rsidRDefault="00654081" w:rsidP="00654081">
      <w:pPr>
        <w:ind w:left="1440"/>
      </w:pPr>
      <w:r>
        <w:t>“</w:t>
      </w:r>
      <w:proofErr w:type="gramStart"/>
      <w:r>
        <w:t>the</w:t>
      </w:r>
      <w:proofErr w:type="gramEnd"/>
      <w:r>
        <w:t xml:space="preserve"> onward transfer is to a country benefitting from adequacy regulations pursuant to Section 17A of the UK GDPR that covers the onward transfer;”</w:t>
      </w:r>
    </w:p>
    <w:p w14:paraId="36924E63" w14:textId="5AFF85F0" w:rsidR="001700B8" w:rsidRDefault="00BE6994" w:rsidP="00654081">
      <w:pPr>
        <w:numPr>
          <w:ilvl w:val="0"/>
          <w:numId w:val="8"/>
        </w:numPr>
        <w:ind w:hanging="360"/>
      </w:pPr>
      <w:r>
        <w:t>References to “Regulation (EU) 2016/679”</w:t>
      </w:r>
      <w:r w:rsidR="00EA7B44">
        <w:t>, “</w:t>
      </w:r>
      <w:r w:rsidR="00EA7B44" w:rsidRPr="005F439A">
        <w:t>Regulation (EU) 2016/679 of the European Parliament and of the Council of 27 April 2016 on the protection of natural persons with regard to the processing of personal data and on the free movement of such data (General Data Protection Regulation)</w:t>
      </w:r>
      <w:r w:rsidR="00EA7B44">
        <w:t>”</w:t>
      </w:r>
      <w:r>
        <w:t xml:space="preserve"> </w:t>
      </w:r>
      <w:r w:rsidR="00654081">
        <w:t>and</w:t>
      </w:r>
      <w:r>
        <w:t xml:space="preserve"> “that Regulation” are </w:t>
      </w:r>
      <w:r w:rsidR="00654081">
        <w:t xml:space="preserve">all </w:t>
      </w:r>
      <w:r>
        <w:t>replaced by “UK Data Protection Laws”</w:t>
      </w:r>
      <w:r w:rsidR="00654081">
        <w:t>.</w:t>
      </w:r>
      <w:r>
        <w:t xml:space="preserve"> </w:t>
      </w:r>
      <w:r w:rsidR="00654081">
        <w:t>R</w:t>
      </w:r>
      <w:r>
        <w:t xml:space="preserve">eferences to specific Article(s) of “Regulation (EU) 2016/679” are replaced with the equivalent Article or Section of UK Data Protection </w:t>
      </w:r>
      <w:proofErr w:type="gramStart"/>
      <w:r>
        <w:t>Laws</w:t>
      </w:r>
      <w:r w:rsidR="00F52A62">
        <w:t>;</w:t>
      </w:r>
      <w:proofErr w:type="gramEnd"/>
    </w:p>
    <w:p w14:paraId="156DEEEA" w14:textId="0FACB911" w:rsidR="00F04AD3" w:rsidRDefault="00BE6994" w:rsidP="00A671EC">
      <w:pPr>
        <w:numPr>
          <w:ilvl w:val="0"/>
          <w:numId w:val="8"/>
        </w:numPr>
        <w:ind w:hanging="360"/>
      </w:pPr>
      <w:r>
        <w:t xml:space="preserve">References to Regulation (EU) 2018/1725 are </w:t>
      </w:r>
      <w:proofErr w:type="gramStart"/>
      <w:r>
        <w:t>removed</w:t>
      </w:r>
      <w:r w:rsidR="00F52A62">
        <w:t>;</w:t>
      </w:r>
      <w:proofErr w:type="gramEnd"/>
    </w:p>
    <w:p w14:paraId="357342A7" w14:textId="4D7F182C" w:rsidR="00F04AD3" w:rsidRDefault="00BE6994" w:rsidP="00A671EC">
      <w:pPr>
        <w:numPr>
          <w:ilvl w:val="0"/>
          <w:numId w:val="8"/>
        </w:numPr>
        <w:ind w:hanging="360"/>
      </w:pPr>
      <w:r>
        <w:t>References to the “</w:t>
      </w:r>
      <w:r w:rsidR="00F95432">
        <w:t xml:space="preserve">European </w:t>
      </w:r>
      <w:r>
        <w:t xml:space="preserve">Union”, </w:t>
      </w:r>
      <w:r w:rsidR="002B4A84">
        <w:t xml:space="preserve">“Union”, </w:t>
      </w:r>
      <w:r>
        <w:t>“EU”</w:t>
      </w:r>
      <w:r w:rsidR="008973C2">
        <w:t>,</w:t>
      </w:r>
      <w:r>
        <w:t xml:space="preserve"> </w:t>
      </w:r>
      <w:r w:rsidR="00D5155F">
        <w:t xml:space="preserve">“EU Member State”, </w:t>
      </w:r>
      <w:r>
        <w:t>“Member State”</w:t>
      </w:r>
      <w:r w:rsidR="008973C2">
        <w:t xml:space="preserve"> and “EU or Member State”</w:t>
      </w:r>
      <w:r>
        <w:t xml:space="preserve"> are all replaced with the “UK</w:t>
      </w:r>
      <w:proofErr w:type="gramStart"/>
      <w:r>
        <w:t>”</w:t>
      </w:r>
      <w:r w:rsidR="00F52A62">
        <w:t>;</w:t>
      </w:r>
      <w:proofErr w:type="gramEnd"/>
    </w:p>
    <w:p w14:paraId="33F77F41" w14:textId="70447C25" w:rsidR="006E609F" w:rsidRDefault="006E609F" w:rsidP="00A671EC">
      <w:pPr>
        <w:numPr>
          <w:ilvl w:val="0"/>
          <w:numId w:val="8"/>
        </w:numPr>
        <w:ind w:hanging="360"/>
      </w:pPr>
      <w:r>
        <w:t>The reference to “</w:t>
      </w:r>
      <w:r w:rsidRPr="00814BD5">
        <w:t>Clause 12(c)(</w:t>
      </w:r>
      <w:proofErr w:type="spellStart"/>
      <w:r w:rsidRPr="00814BD5">
        <w:t>i</w:t>
      </w:r>
      <w:proofErr w:type="spellEnd"/>
      <w:r w:rsidRPr="00814BD5">
        <w:t>)</w:t>
      </w:r>
      <w:r>
        <w:t>” at Clause 10(b)(</w:t>
      </w:r>
      <w:proofErr w:type="spellStart"/>
      <w:r>
        <w:t>i</w:t>
      </w:r>
      <w:proofErr w:type="spellEnd"/>
      <w:r>
        <w:t>) of Module one, is replaced with “Clause 11(c)(</w:t>
      </w:r>
      <w:proofErr w:type="spellStart"/>
      <w:r>
        <w:t>i</w:t>
      </w:r>
      <w:proofErr w:type="spellEnd"/>
      <w:r>
        <w:t>)</w:t>
      </w:r>
      <w:proofErr w:type="gramStart"/>
      <w:r>
        <w:t>”</w:t>
      </w:r>
      <w:r w:rsidR="00F52A62">
        <w:t>;</w:t>
      </w:r>
      <w:proofErr w:type="gramEnd"/>
    </w:p>
    <w:p w14:paraId="54B67459" w14:textId="62F0357D" w:rsidR="00054E4A" w:rsidRDefault="00BE6994" w:rsidP="00A671EC">
      <w:pPr>
        <w:numPr>
          <w:ilvl w:val="0"/>
          <w:numId w:val="8"/>
        </w:numPr>
        <w:ind w:hanging="360"/>
      </w:pPr>
      <w:r>
        <w:t xml:space="preserve">Clause 13(a) and Part C of Annex I are not </w:t>
      </w:r>
      <w:proofErr w:type="gramStart"/>
      <w:r>
        <w:t>used;</w:t>
      </w:r>
      <w:proofErr w:type="gramEnd"/>
      <w:r>
        <w:t xml:space="preserve"> </w:t>
      </w:r>
    </w:p>
    <w:p w14:paraId="07B82C53" w14:textId="0656D63E" w:rsidR="00EE42C8" w:rsidRPr="00145894" w:rsidRDefault="00145894" w:rsidP="00A671EC">
      <w:pPr>
        <w:numPr>
          <w:ilvl w:val="0"/>
          <w:numId w:val="8"/>
        </w:numPr>
        <w:ind w:hanging="360"/>
      </w:pPr>
      <w:r>
        <w:t>T</w:t>
      </w:r>
      <w:r w:rsidR="00BE6994" w:rsidRPr="005F439A">
        <w:t xml:space="preserve">he “competent supervisory authority” </w:t>
      </w:r>
      <w:r w:rsidR="00654081">
        <w:t>and “supervisory authority” are</w:t>
      </w:r>
      <w:r w:rsidR="00BE6994" w:rsidRPr="005F439A">
        <w:t xml:space="preserve"> </w:t>
      </w:r>
      <w:r w:rsidR="00654081">
        <w:t xml:space="preserve">both </w:t>
      </w:r>
      <w:r w:rsidR="00054E4A" w:rsidRPr="005F439A">
        <w:t xml:space="preserve">replaced </w:t>
      </w:r>
      <w:r>
        <w:t xml:space="preserve">with </w:t>
      </w:r>
      <w:r w:rsidR="00BE6994" w:rsidRPr="005F439A">
        <w:t xml:space="preserve">the </w:t>
      </w:r>
      <w:r w:rsidR="00054E4A" w:rsidRPr="005F439A">
        <w:t>“</w:t>
      </w:r>
      <w:r w:rsidR="00BE6994" w:rsidRPr="005F439A">
        <w:t>Information Commissioner</w:t>
      </w:r>
      <w:proofErr w:type="gramStart"/>
      <w:r w:rsidR="00054E4A" w:rsidRPr="005F439A">
        <w:t>”</w:t>
      </w:r>
      <w:r w:rsidR="00F52A62">
        <w:t>;</w:t>
      </w:r>
      <w:proofErr w:type="gramEnd"/>
    </w:p>
    <w:p w14:paraId="1A8E7063" w14:textId="77777777" w:rsidR="00654081" w:rsidRDefault="00654081" w:rsidP="00654081">
      <w:pPr>
        <w:numPr>
          <w:ilvl w:val="0"/>
          <w:numId w:val="8"/>
        </w:numPr>
        <w:ind w:hanging="360"/>
      </w:pPr>
      <w:r>
        <w:t>In Clause 16(e), subsection (</w:t>
      </w:r>
      <w:proofErr w:type="spellStart"/>
      <w:r>
        <w:t>i</w:t>
      </w:r>
      <w:proofErr w:type="spellEnd"/>
      <w:r>
        <w:t>) is replaced with:</w:t>
      </w:r>
    </w:p>
    <w:p w14:paraId="657A4A4C" w14:textId="77777777" w:rsidR="00654081" w:rsidRDefault="00654081" w:rsidP="00654081">
      <w:pPr>
        <w:spacing w:line="274" w:lineRule="auto"/>
        <w:ind w:left="1440"/>
      </w:pPr>
      <w:r>
        <w:t>“</w:t>
      </w:r>
      <w:proofErr w:type="gramStart"/>
      <w:r>
        <w:t>the</w:t>
      </w:r>
      <w:proofErr w:type="gramEnd"/>
      <w:r>
        <w:t xml:space="preserve"> Secretary of State makes regulations pursuant to Section 17A of the Data Protection Act 2018 that cover the transfer of personal data to which these clauses apply;</w:t>
      </w:r>
      <w:proofErr w:type="gramStart"/>
      <w:r>
        <w:t>”;</w:t>
      </w:r>
      <w:proofErr w:type="gramEnd"/>
    </w:p>
    <w:p w14:paraId="2AFB794A" w14:textId="4C65B8A1" w:rsidR="00145894" w:rsidRDefault="00BE6994" w:rsidP="00A671EC">
      <w:pPr>
        <w:numPr>
          <w:ilvl w:val="0"/>
          <w:numId w:val="8"/>
        </w:numPr>
        <w:spacing w:line="274" w:lineRule="auto"/>
        <w:ind w:hanging="360"/>
      </w:pPr>
      <w:r>
        <w:t xml:space="preserve">Clause 17 is replaced </w:t>
      </w:r>
      <w:r w:rsidR="00145894">
        <w:t>with:</w:t>
      </w:r>
    </w:p>
    <w:p w14:paraId="61FA1A50" w14:textId="0EC8DD1C" w:rsidR="00F04AD3" w:rsidRPr="009171A7" w:rsidRDefault="00BE6994" w:rsidP="00654081">
      <w:pPr>
        <w:spacing w:line="274" w:lineRule="auto"/>
        <w:ind w:left="1440"/>
      </w:pPr>
      <w:r w:rsidRPr="009171A7">
        <w:t>“These Clauses are governed by the laws of England and Wales</w:t>
      </w:r>
      <w:r w:rsidR="00F52A62">
        <w:t>.</w:t>
      </w:r>
      <w:proofErr w:type="gramStart"/>
      <w:r w:rsidRPr="009171A7">
        <w:t>”</w:t>
      </w:r>
      <w:r w:rsidR="00F52A62">
        <w:t>;</w:t>
      </w:r>
      <w:proofErr w:type="gramEnd"/>
    </w:p>
    <w:p w14:paraId="52D0661F" w14:textId="5CD9AC7A" w:rsidR="00F04AD3" w:rsidRDefault="00BE6994" w:rsidP="00A671EC">
      <w:pPr>
        <w:numPr>
          <w:ilvl w:val="0"/>
          <w:numId w:val="8"/>
        </w:numPr>
        <w:ind w:hanging="360"/>
      </w:pPr>
      <w:r>
        <w:t xml:space="preserve">Clause 18 is replaced </w:t>
      </w:r>
      <w:r w:rsidR="00145894">
        <w:t>with</w:t>
      </w:r>
      <w:r>
        <w:t>:</w:t>
      </w:r>
    </w:p>
    <w:p w14:paraId="1FEAA528" w14:textId="1B78B852" w:rsidR="00F04AD3" w:rsidRPr="009A7EC8" w:rsidRDefault="00BE6994" w:rsidP="00A671EC">
      <w:pPr>
        <w:ind w:left="1440"/>
      </w:pPr>
      <w:bookmarkStart w:id="14" w:name="_Hlk92820147"/>
      <w:r w:rsidRPr="009A7EC8">
        <w:t xml:space="preserve">“Any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w:t>
      </w:r>
      <w:r w:rsidRPr="00AD536D">
        <w:t>courts.”</w:t>
      </w:r>
      <w:r w:rsidR="00F52A62" w:rsidRPr="00AD536D">
        <w:t>; and</w:t>
      </w:r>
    </w:p>
    <w:bookmarkEnd w:id="14"/>
    <w:p w14:paraId="07CEA69B" w14:textId="695458D1" w:rsidR="00F04AD3" w:rsidRPr="00E65230" w:rsidRDefault="00BE6994" w:rsidP="00A671EC">
      <w:pPr>
        <w:numPr>
          <w:ilvl w:val="0"/>
          <w:numId w:val="8"/>
        </w:numPr>
        <w:ind w:hanging="360"/>
      </w:pPr>
      <w:r w:rsidRPr="00E65230">
        <w:lastRenderedPageBreak/>
        <w:t xml:space="preserve">The footnotes to the </w:t>
      </w:r>
      <w:r w:rsidR="001A20D4" w:rsidRPr="00E65230">
        <w:t xml:space="preserve">Approved EU SCCs </w:t>
      </w:r>
      <w:r w:rsidRPr="00E65230">
        <w:t xml:space="preserve">do not form part of the </w:t>
      </w:r>
      <w:r w:rsidR="00054E4A" w:rsidRPr="00E65230">
        <w:t>A</w:t>
      </w:r>
      <w:r w:rsidR="008869E3" w:rsidRPr="00E65230">
        <w:t>ddendum</w:t>
      </w:r>
      <w:r w:rsidR="002206D9" w:rsidRPr="00E65230">
        <w:t>, except for footnote</w:t>
      </w:r>
      <w:r w:rsidR="00E65230" w:rsidRPr="00E65230">
        <w:t>s 8, 9, 10 and 11</w:t>
      </w:r>
      <w:r w:rsidRPr="00E65230">
        <w:t xml:space="preserve">. </w:t>
      </w:r>
    </w:p>
    <w:p w14:paraId="1DDA4F31" w14:textId="68281ED3" w:rsidR="00F04AD3" w:rsidRDefault="00BE6994" w:rsidP="00A671EC">
      <w:pPr>
        <w:pStyle w:val="Heading3"/>
      </w:pPr>
      <w:r>
        <w:t xml:space="preserve">Amendments to this Addendum </w:t>
      </w:r>
    </w:p>
    <w:p w14:paraId="5B1CDE32" w14:textId="71C4A321" w:rsidR="00F04AD3" w:rsidRDefault="00BE6994" w:rsidP="00A671EC">
      <w:pPr>
        <w:pStyle w:val="NormalNumbered"/>
      </w:pPr>
      <w:bookmarkStart w:id="15" w:name="_Ref90906380"/>
      <w:r>
        <w:t xml:space="preserve">The Parties may agree to change </w:t>
      </w:r>
      <w:r w:rsidR="004562D8" w:rsidRPr="002B15C4">
        <w:t>Clause</w:t>
      </w:r>
      <w:r w:rsidR="00DD7A87">
        <w:t>s</w:t>
      </w:r>
      <w:r w:rsidR="000067A9" w:rsidRPr="002B15C4">
        <w:t xml:space="preserve"> </w:t>
      </w:r>
      <w:r w:rsidRPr="002B15C4">
        <w:t>17 and/or 18</w:t>
      </w:r>
      <w:r>
        <w:t xml:space="preserve"> </w:t>
      </w:r>
      <w:r w:rsidR="004562D8">
        <w:t xml:space="preserve">of the </w:t>
      </w:r>
      <w:r w:rsidR="001A20D4">
        <w:t xml:space="preserve">Addendum </w:t>
      </w:r>
      <w:r w:rsidR="004562D8">
        <w:t xml:space="preserve">EU SCCs </w:t>
      </w:r>
      <w:r>
        <w:t>to refer to the laws and/or courts of Scotland or Northern Ireland.</w:t>
      </w:r>
      <w:bookmarkEnd w:id="15"/>
    </w:p>
    <w:p w14:paraId="6DBE389F" w14:textId="0083CAF7" w:rsidR="002206D9" w:rsidRDefault="009D146B" w:rsidP="00A671EC">
      <w:pPr>
        <w:pStyle w:val="NormalNumbered"/>
      </w:pPr>
      <w:r>
        <w:t xml:space="preserve">If the Parties wish to change the format of the information included in Part </w:t>
      </w:r>
      <w:r w:rsidR="00DC23D2">
        <w:t>1</w:t>
      </w:r>
      <w:r>
        <w:t xml:space="preserve">: Tables of the Approved </w:t>
      </w:r>
      <w:r w:rsidR="00B66FC9">
        <w:t>Addendum</w:t>
      </w:r>
      <w:r>
        <w:t>, they may do so by agreeing to the change in writing, provided that the change does not reduce the Appropriate Safeguards</w:t>
      </w:r>
      <w:r w:rsidR="002206D9" w:rsidRPr="002206D9">
        <w:t>.</w:t>
      </w:r>
    </w:p>
    <w:p w14:paraId="066377EB" w14:textId="6840446E" w:rsidR="00434792" w:rsidRDefault="00434792" w:rsidP="00A671EC">
      <w:pPr>
        <w:pStyle w:val="NormalNumbered"/>
      </w:pPr>
      <w:bookmarkStart w:id="16" w:name="_Ref90907400"/>
      <w:r>
        <w:t xml:space="preserve">From time to time, the ICO may </w:t>
      </w:r>
      <w:r w:rsidR="00E52788">
        <w:t xml:space="preserve">issue </w:t>
      </w:r>
      <w:r>
        <w:t>a revised Approved Addendum</w:t>
      </w:r>
      <w:r w:rsidR="00D77492">
        <w:t xml:space="preserve"> which</w:t>
      </w:r>
      <w:r>
        <w:t>:</w:t>
      </w:r>
      <w:bookmarkEnd w:id="16"/>
      <w:r>
        <w:t xml:space="preserve"> </w:t>
      </w:r>
    </w:p>
    <w:p w14:paraId="30FC2D7E" w14:textId="40441D55" w:rsidR="00434792" w:rsidRDefault="00D77492" w:rsidP="00C552F0">
      <w:pPr>
        <w:pStyle w:val="ListParagraph"/>
        <w:numPr>
          <w:ilvl w:val="0"/>
          <w:numId w:val="11"/>
        </w:numPr>
        <w:spacing w:after="366"/>
        <w:ind w:left="1077" w:hanging="357"/>
      </w:pPr>
      <w:r>
        <w:t xml:space="preserve">makes reasonable and proportionate changes to the </w:t>
      </w:r>
      <w:r w:rsidR="006425EB">
        <w:t xml:space="preserve">Approved </w:t>
      </w:r>
      <w:r>
        <w:t xml:space="preserve">Addendum, including correcting </w:t>
      </w:r>
      <w:r w:rsidR="00434792">
        <w:t xml:space="preserve">errors in </w:t>
      </w:r>
      <w:r w:rsidR="006425EB">
        <w:t xml:space="preserve">the Approved </w:t>
      </w:r>
      <w:r w:rsidR="00434792">
        <w:t xml:space="preserve">Addendum; </w:t>
      </w:r>
      <w:r>
        <w:t>and/</w:t>
      </w:r>
      <w:r w:rsidR="00434792">
        <w:t>or</w:t>
      </w:r>
    </w:p>
    <w:p w14:paraId="5569FA50" w14:textId="77777777" w:rsidR="00434792" w:rsidRDefault="00434792" w:rsidP="00C552F0">
      <w:pPr>
        <w:pStyle w:val="ListParagraph"/>
        <w:numPr>
          <w:ilvl w:val="0"/>
          <w:numId w:val="11"/>
        </w:numPr>
        <w:ind w:left="1077" w:hanging="357"/>
      </w:pPr>
      <w:r>
        <w:t xml:space="preserve">reflects changes to UK Data Protection </w:t>
      </w:r>
      <w:proofErr w:type="gramStart"/>
      <w:r>
        <w:t>Laws;</w:t>
      </w:r>
      <w:proofErr w:type="gramEnd"/>
    </w:p>
    <w:p w14:paraId="76EE7584" w14:textId="5D6B3FA5" w:rsidR="00434792" w:rsidRPr="00AD536D" w:rsidRDefault="00434792" w:rsidP="00A671EC">
      <w:pPr>
        <w:pStyle w:val="NormalNumbered"/>
        <w:numPr>
          <w:ilvl w:val="0"/>
          <w:numId w:val="0"/>
        </w:numPr>
        <w:ind w:left="454"/>
      </w:pPr>
      <w:r w:rsidRPr="00AD536D">
        <w:t xml:space="preserve">The revised Approved Addendum will specify the start date </w:t>
      </w:r>
      <w:r w:rsidR="0042688D" w:rsidRPr="00AD536D">
        <w:t xml:space="preserve">from which </w:t>
      </w:r>
      <w:r w:rsidRPr="00AD536D">
        <w:t>the changes to the Approved Addendum are effective and whether the Parties need to review</w:t>
      </w:r>
      <w:r w:rsidR="002528E5" w:rsidRPr="00AD536D">
        <w:t xml:space="preserve"> th</w:t>
      </w:r>
      <w:r w:rsidR="000F1668" w:rsidRPr="00AD536D">
        <w:t>is</w:t>
      </w:r>
      <w:r w:rsidR="002528E5" w:rsidRPr="00AD536D">
        <w:t xml:space="preserve"> Addendum</w:t>
      </w:r>
      <w:r w:rsidR="000F1668" w:rsidRPr="00AD536D">
        <w:t xml:space="preserve"> including </w:t>
      </w:r>
      <w:r w:rsidR="00321F35" w:rsidRPr="00AD536D">
        <w:t>the Appendix Information</w:t>
      </w:r>
      <w:r w:rsidRPr="00AD536D">
        <w:t>. This A</w:t>
      </w:r>
      <w:r w:rsidR="002528E5" w:rsidRPr="00AD536D">
        <w:t>ddendum</w:t>
      </w:r>
      <w:r w:rsidRPr="00AD536D">
        <w:t xml:space="preserve"> is automatically amended as set out in the revised Approved A</w:t>
      </w:r>
      <w:r w:rsidR="002528E5" w:rsidRPr="00AD536D">
        <w:t>ddendum</w:t>
      </w:r>
      <w:r w:rsidRPr="00AD536D">
        <w:t xml:space="preserve"> from the start date specified. </w:t>
      </w:r>
    </w:p>
    <w:p w14:paraId="244EBFB3" w14:textId="5E009855" w:rsidR="00E52788" w:rsidRPr="00AD536D" w:rsidRDefault="007F74E2" w:rsidP="00E52788">
      <w:pPr>
        <w:pStyle w:val="NormalNumbered"/>
      </w:pPr>
      <w:bookmarkStart w:id="17" w:name="_Ref93329888"/>
      <w:bookmarkStart w:id="18" w:name="_Ref92725699"/>
      <w:r w:rsidRPr="00AD536D">
        <w:t>I</w:t>
      </w:r>
      <w:r w:rsidR="00CF27C4" w:rsidRPr="00AD536D">
        <w:t xml:space="preserve">f the ICO </w:t>
      </w:r>
      <w:r w:rsidR="00E52788" w:rsidRPr="00AD536D">
        <w:t xml:space="preserve">issues </w:t>
      </w:r>
      <w:r w:rsidR="00CF27C4" w:rsidRPr="00AD536D">
        <w:t>a revised Approved Addendum under Section</w:t>
      </w:r>
      <w:r w:rsidR="002B15C4" w:rsidRPr="00AD536D">
        <w:t xml:space="preserve"> </w:t>
      </w:r>
      <w:r w:rsidR="002B15C4" w:rsidRPr="00AD536D">
        <w:fldChar w:fldCharType="begin"/>
      </w:r>
      <w:r w:rsidR="002B15C4" w:rsidRPr="00AD536D">
        <w:instrText xml:space="preserve"> REF _Ref90907400 \r \h </w:instrText>
      </w:r>
      <w:r w:rsidR="00CD237C" w:rsidRPr="00AD536D">
        <w:instrText xml:space="preserve"> \* MERGEFORMAT </w:instrText>
      </w:r>
      <w:r w:rsidR="002B15C4" w:rsidRPr="00AD536D">
        <w:fldChar w:fldCharType="separate"/>
      </w:r>
      <w:r w:rsidR="00993F5E" w:rsidRPr="00AD536D">
        <w:rPr>
          <w:rFonts w:ascii="Arial" w:hAnsi="Arial" w:cs="Arial"/>
          <w:cs/>
        </w:rPr>
        <w:t>‎</w:t>
      </w:r>
      <w:r w:rsidR="00993F5E" w:rsidRPr="00AD536D">
        <w:t>18</w:t>
      </w:r>
      <w:r w:rsidR="002B15C4" w:rsidRPr="00AD536D">
        <w:fldChar w:fldCharType="end"/>
      </w:r>
      <w:r w:rsidR="00CF27C4" w:rsidRPr="00AD536D">
        <w:t xml:space="preserve">, </w:t>
      </w:r>
      <w:r w:rsidR="00E52788" w:rsidRPr="00AD536D">
        <w:t xml:space="preserve">if </w:t>
      </w:r>
      <w:r w:rsidRPr="00AD536D">
        <w:t>a</w:t>
      </w:r>
      <w:r w:rsidR="000712DD">
        <w:t>ny</w:t>
      </w:r>
      <w:r w:rsidRPr="00AD536D">
        <w:t xml:space="preserve"> Party </w:t>
      </w:r>
      <w:r w:rsidR="00E52788" w:rsidRPr="00AD536D">
        <w:t xml:space="preserve">selected in Table 4 “Ending the Addendum when the Approved Addendum changes”, will </w:t>
      </w:r>
      <w:r w:rsidR="001C3A39" w:rsidRPr="00AD536D">
        <w:t xml:space="preserve">as a direct result of the changes in the Approved Addendum </w:t>
      </w:r>
      <w:r w:rsidR="00E52788" w:rsidRPr="00AD536D">
        <w:t>have a substantial, disproportionate and demonstrable increase in:</w:t>
      </w:r>
      <w:bookmarkEnd w:id="17"/>
      <w:r w:rsidR="00E52788" w:rsidRPr="00AD536D">
        <w:t xml:space="preserve"> </w:t>
      </w:r>
    </w:p>
    <w:p w14:paraId="7C1CF56A" w14:textId="7632697B" w:rsidR="00E52788" w:rsidRDefault="00E52788" w:rsidP="001C3A39">
      <w:pPr>
        <w:pStyle w:val="NormalNumbered"/>
        <w:numPr>
          <w:ilvl w:val="1"/>
          <w:numId w:val="20"/>
        </w:numPr>
      </w:pPr>
      <w:r>
        <w:t>its direct cost</w:t>
      </w:r>
      <w:r w:rsidR="001C3A39">
        <w:t>s</w:t>
      </w:r>
      <w:r>
        <w:t xml:space="preserve"> of performing its obligations under the Addendum; and/or </w:t>
      </w:r>
    </w:p>
    <w:p w14:paraId="7DFFD6F8" w14:textId="1067BB41" w:rsidR="00E52788" w:rsidRDefault="00E52788" w:rsidP="001C3A39">
      <w:pPr>
        <w:pStyle w:val="NormalNumbered"/>
        <w:numPr>
          <w:ilvl w:val="1"/>
          <w:numId w:val="20"/>
        </w:numPr>
      </w:pPr>
      <w:r>
        <w:t xml:space="preserve">its risk under the Addendum, </w:t>
      </w:r>
    </w:p>
    <w:p w14:paraId="256E49C4" w14:textId="7028B5F8" w:rsidR="00E52788" w:rsidRDefault="001C3A39" w:rsidP="00E52788">
      <w:pPr>
        <w:pStyle w:val="NormalNumbered"/>
        <w:numPr>
          <w:ilvl w:val="0"/>
          <w:numId w:val="0"/>
        </w:numPr>
        <w:ind w:left="454"/>
      </w:pPr>
      <w:r w:rsidRPr="00AD536D">
        <w:t xml:space="preserve">and in either case it has first taken </w:t>
      </w:r>
      <w:r w:rsidR="00E52788" w:rsidRPr="00AD536D">
        <w:t>reasonable steps to reduce those costs or risks</w:t>
      </w:r>
      <w:r w:rsidRPr="00AD536D">
        <w:t xml:space="preserve"> so that it is not substantial and disproportionate</w:t>
      </w:r>
      <w:r w:rsidR="00E52788" w:rsidRPr="00AD536D">
        <w:t xml:space="preserve">, then that Party may </w:t>
      </w:r>
      <w:r w:rsidR="00C179F3">
        <w:t>end</w:t>
      </w:r>
      <w:r w:rsidR="00E52788" w:rsidRPr="00AD536D">
        <w:t xml:space="preserve"> </w:t>
      </w:r>
      <w:r w:rsidR="007F74E2" w:rsidRPr="00AD536D">
        <w:t xml:space="preserve">this Addendum </w:t>
      </w:r>
      <w:r w:rsidR="00E52788" w:rsidRPr="00AD536D">
        <w:t>at the end</w:t>
      </w:r>
      <w:r w:rsidR="007F74E2" w:rsidRPr="00AD536D">
        <w:t xml:space="preserve"> </w:t>
      </w:r>
      <w:r w:rsidR="00321F35" w:rsidRPr="00AD536D">
        <w:t xml:space="preserve">of </w:t>
      </w:r>
      <w:r w:rsidR="007F74E2" w:rsidRPr="00AD536D">
        <w:t xml:space="preserve">a reasonable </w:t>
      </w:r>
      <w:r w:rsidR="00E52788" w:rsidRPr="00AD536D">
        <w:t xml:space="preserve">notice </w:t>
      </w:r>
      <w:r w:rsidR="007F74E2" w:rsidRPr="00AD536D">
        <w:t>period</w:t>
      </w:r>
      <w:r w:rsidR="00C179F3">
        <w:t>,</w:t>
      </w:r>
      <w:r w:rsidR="007F74E2" w:rsidRPr="00AD536D">
        <w:t xml:space="preserve"> </w:t>
      </w:r>
      <w:r w:rsidR="00E52788" w:rsidRPr="00AD536D">
        <w:t xml:space="preserve">by providing written notice for that period to the other </w:t>
      </w:r>
      <w:r w:rsidRPr="00AD536D">
        <w:t xml:space="preserve">Party </w:t>
      </w:r>
      <w:r w:rsidR="00CF27C4" w:rsidRPr="00AD536D">
        <w:t>before the start date of the revised Approved A</w:t>
      </w:r>
      <w:r w:rsidR="00852C88" w:rsidRPr="00AD536D">
        <w:t>ddendum</w:t>
      </w:r>
      <w:r w:rsidR="00CF27C4" w:rsidRPr="00AD536D">
        <w:t>.</w:t>
      </w:r>
      <w:bookmarkEnd w:id="18"/>
    </w:p>
    <w:p w14:paraId="0AF5A039" w14:textId="79455624" w:rsidR="00BB5276" w:rsidRDefault="00BB5276" w:rsidP="00A671EC">
      <w:pPr>
        <w:pStyle w:val="NormalNumbered"/>
      </w:pPr>
      <w:bookmarkStart w:id="19" w:name="_Ref90906389"/>
      <w:r w:rsidRPr="00BB5276">
        <w:t xml:space="preserve">The Parties do not need the consent of any </w:t>
      </w:r>
      <w:r>
        <w:t>third party</w:t>
      </w:r>
      <w:r w:rsidRPr="00BB5276">
        <w:t xml:space="preserve"> to make changes to this A</w:t>
      </w:r>
      <w:r>
        <w:t>ddendum</w:t>
      </w:r>
      <w:r w:rsidRPr="00BB5276">
        <w:t>, but any changes must be made in accordance with its terms.</w:t>
      </w:r>
      <w:bookmarkEnd w:id="19"/>
    </w:p>
    <w:p w14:paraId="31ACCC7C" w14:textId="160C3DF9" w:rsidR="0016282B" w:rsidRDefault="0016282B" w:rsidP="0016282B">
      <w:pPr>
        <w:pStyle w:val="Heading2"/>
      </w:pPr>
      <w:r w:rsidRPr="00EB1C31">
        <w:lastRenderedPageBreak/>
        <w:t xml:space="preserve">Alternative Part </w:t>
      </w:r>
      <w:r w:rsidR="001C3A39">
        <w:t>2</w:t>
      </w:r>
      <w:r w:rsidRPr="00EB1C31">
        <w:t xml:space="preserve">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1"/>
        <w:gridCol w:w="6897"/>
      </w:tblGrid>
      <w:tr w:rsidR="0016282B" w:rsidRPr="00D20385" w14:paraId="47CA26CB" w14:textId="77777777" w:rsidTr="00143995">
        <w:tc>
          <w:tcPr>
            <w:tcW w:w="1176" w:type="pct"/>
            <w:tcBorders>
              <w:bottom w:val="single" w:sz="18" w:space="0" w:color="FFC000"/>
            </w:tcBorders>
            <w:shd w:val="clear" w:color="auto" w:fill="FFF9DD"/>
          </w:tcPr>
          <w:p w14:paraId="4D2D8BC9" w14:textId="77777777" w:rsidR="0016282B" w:rsidRPr="00280288" w:rsidRDefault="0016282B" w:rsidP="00143995">
            <w:pPr>
              <w:pStyle w:val="Body"/>
              <w:rPr>
                <w:b/>
                <w:bCs/>
                <w:color w:val="003768"/>
              </w:rPr>
            </w:pPr>
            <w:r w:rsidRPr="00280288">
              <w:rPr>
                <w:b/>
                <w:bCs/>
                <w:color w:val="003768"/>
              </w:rPr>
              <w:t>Mandatory Clauses</w:t>
            </w:r>
          </w:p>
        </w:tc>
        <w:tc>
          <w:tcPr>
            <w:tcW w:w="3824" w:type="pct"/>
            <w:tcBorders>
              <w:bottom w:val="single" w:sz="18" w:space="0" w:color="FFC000"/>
            </w:tcBorders>
            <w:shd w:val="clear" w:color="auto" w:fill="auto"/>
          </w:tcPr>
          <w:p w14:paraId="67587695" w14:textId="30C8569E" w:rsidR="0016282B" w:rsidRPr="0016282B" w:rsidRDefault="0016282B" w:rsidP="0016282B">
            <w:pPr>
              <w:pStyle w:val="Body"/>
            </w:pPr>
            <w:r>
              <w:t>Part 2: Mandatory Clauses of the Approved Addendum, being t</w:t>
            </w:r>
            <w:r w:rsidRPr="00873806">
              <w:t xml:space="preserve">he </w:t>
            </w:r>
            <w:r w:rsidR="0051727E">
              <w:t xml:space="preserve">template </w:t>
            </w:r>
            <w:r w:rsidRPr="00873806">
              <w:t>A</w:t>
            </w:r>
            <w:r>
              <w:t>ddendum</w:t>
            </w:r>
            <w:r w:rsidRPr="00873806">
              <w:t xml:space="preserve"> </w:t>
            </w:r>
            <w:r>
              <w:t xml:space="preserve">B.1.0 issued by the ICO and </w:t>
            </w:r>
            <w:r w:rsidRPr="00873806">
              <w:t>laid before Parliament in accordance with s11</w:t>
            </w:r>
            <w:r>
              <w:t>9</w:t>
            </w:r>
            <w:r w:rsidRPr="00873806">
              <w:t>A of the Data Protection Act 2018</w:t>
            </w:r>
            <w:r>
              <w:t xml:space="preserve"> on </w:t>
            </w:r>
            <w:r w:rsidR="00D03ACB">
              <w:t>2 February</w:t>
            </w:r>
            <w:r>
              <w:t xml:space="preserve"> 2022</w:t>
            </w:r>
            <w:r w:rsidRPr="00873806">
              <w:t xml:space="preserve">, as it is revised </w:t>
            </w:r>
            <w:r w:rsidRPr="00407EC3">
              <w:t xml:space="preserve">under </w:t>
            </w:r>
            <w:r w:rsidRPr="00AD536D">
              <w:t xml:space="preserve">Section </w:t>
            </w:r>
            <w:r w:rsidRPr="00AD536D">
              <w:rPr>
                <w:rFonts w:ascii="Arial" w:hAnsi="Arial" w:cs="Arial" w:hint="cs"/>
                <w:cs/>
              </w:rPr>
              <w:t>‎</w:t>
            </w:r>
            <w:r w:rsidR="00E52788" w:rsidRPr="00AD536D">
              <w:fldChar w:fldCharType="begin"/>
            </w:r>
            <w:r w:rsidR="00E52788" w:rsidRPr="00AD536D">
              <w:instrText xml:space="preserve"> REF _Ref90907400 \r \h </w:instrText>
            </w:r>
            <w:r w:rsidR="001C3A39" w:rsidRPr="00AD536D">
              <w:instrText xml:space="preserve"> \* MERGEFORMAT </w:instrText>
            </w:r>
            <w:r w:rsidR="00E52788" w:rsidRPr="00AD536D">
              <w:fldChar w:fldCharType="separate"/>
            </w:r>
            <w:r w:rsidR="00993F5E" w:rsidRPr="00AD536D">
              <w:rPr>
                <w:rFonts w:hint="cs"/>
                <w:cs/>
              </w:rPr>
              <w:t>‎</w:t>
            </w:r>
            <w:r w:rsidR="00993F5E" w:rsidRPr="00AD536D">
              <w:t>18</w:t>
            </w:r>
            <w:r w:rsidR="00E52788" w:rsidRPr="00AD536D">
              <w:fldChar w:fldCharType="end"/>
            </w:r>
            <w:r w:rsidR="00321F35">
              <w:t xml:space="preserve"> </w:t>
            </w:r>
            <w:r w:rsidRPr="00407EC3">
              <w:t>of</w:t>
            </w:r>
            <w:r>
              <w:t xml:space="preserve"> those Mandatory Clauses.</w:t>
            </w:r>
          </w:p>
        </w:tc>
      </w:tr>
    </w:tbl>
    <w:p w14:paraId="1C6389DE" w14:textId="77777777" w:rsidR="0016282B" w:rsidRPr="0016282B" w:rsidRDefault="0016282B" w:rsidP="0016282B"/>
    <w:bookmarkEnd w:id="6"/>
    <w:p w14:paraId="22148522" w14:textId="77777777" w:rsidR="00B12B77" w:rsidRDefault="00B12B77" w:rsidP="00A12129">
      <w:pPr>
        <w:spacing w:after="366"/>
      </w:pPr>
    </w:p>
    <w:sectPr w:rsidR="00B12B77" w:rsidSect="00B51456">
      <w:headerReference w:type="even" r:id="rId10"/>
      <w:headerReference w:type="default" r:id="rId11"/>
      <w:footerReference w:type="even" r:id="rId12"/>
      <w:footerReference w:type="default" r:id="rId13"/>
      <w:footerReference w:type="first" r:id="rId14"/>
      <w:pgSz w:w="11906" w:h="16838"/>
      <w:pgMar w:top="1440" w:right="1443" w:bottom="1526" w:left="1440" w:header="709"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5B52" w14:textId="77777777" w:rsidR="003D36DF" w:rsidRDefault="003D36DF">
      <w:pPr>
        <w:spacing w:after="0" w:line="240" w:lineRule="auto"/>
      </w:pPr>
      <w:r>
        <w:separator/>
      </w:r>
    </w:p>
  </w:endnote>
  <w:endnote w:type="continuationSeparator" w:id="0">
    <w:p w14:paraId="25CA3D62" w14:textId="77777777" w:rsidR="003D36DF" w:rsidRDefault="003D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3FC2" w14:textId="77777777" w:rsidR="00F04AD3" w:rsidRDefault="00BE6994">
    <w:pPr>
      <w:spacing w:after="0" w:line="259" w:lineRule="auto"/>
      <w:ind w:right="-6"/>
      <w:jc w:val="right"/>
    </w:pPr>
    <w:r>
      <w:fldChar w:fldCharType="begin"/>
    </w:r>
    <w:r>
      <w:instrText xml:space="preserve"> PAGE   \* MERGEFORMAT </w:instrText>
    </w:r>
    <w:r>
      <w:fldChar w:fldCharType="separate"/>
    </w:r>
    <w:r>
      <w:rPr>
        <w:color w:val="54534A"/>
      </w:rPr>
      <w:t>1</w:t>
    </w:r>
    <w:r>
      <w:rPr>
        <w:color w:val="54534A"/>
      </w:rPr>
      <w:fldChar w:fldCharType="end"/>
    </w:r>
    <w:r>
      <w:rPr>
        <w:color w:val="54534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93BC" w14:textId="77777777" w:rsidR="001137E4" w:rsidRDefault="001137E4" w:rsidP="001137E4">
    <w:pPr>
      <w:pStyle w:val="Foote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1137E4" w:rsidRPr="007D225D" w14:paraId="4804A142" w14:textId="77777777" w:rsidTr="001137E4">
      <w:tc>
        <w:tcPr>
          <w:tcW w:w="4508" w:type="dxa"/>
          <w:vAlign w:val="bottom"/>
        </w:tcPr>
        <w:p w14:paraId="14DA4CFF" w14:textId="42D1D9AD" w:rsidR="001137E4" w:rsidRPr="00152F4A" w:rsidRDefault="009911AB" w:rsidP="002F1B0C">
          <w:pPr>
            <w:pStyle w:val="Footer"/>
            <w:rPr>
              <w:color w:val="54534A"/>
              <w:sz w:val="18"/>
              <w:szCs w:val="28"/>
            </w:rPr>
          </w:pPr>
          <w:r>
            <w:rPr>
              <w:color w:val="54534A"/>
              <w:sz w:val="18"/>
              <w:szCs w:val="28"/>
            </w:rPr>
            <w:t>VERSION</w:t>
          </w:r>
          <w:r w:rsidR="003C229E" w:rsidRPr="006C3C62">
            <w:rPr>
              <w:color w:val="54534A"/>
              <w:sz w:val="18"/>
              <w:szCs w:val="28"/>
            </w:rPr>
            <w:t xml:space="preserve"> B1.0, </w:t>
          </w:r>
          <w:r w:rsidR="003C229E">
            <w:rPr>
              <w:color w:val="54534A"/>
              <w:sz w:val="18"/>
              <w:szCs w:val="28"/>
            </w:rPr>
            <w:t>i</w:t>
          </w:r>
          <w:r w:rsidR="003C229E" w:rsidRPr="006C3C62">
            <w:rPr>
              <w:color w:val="54534A"/>
              <w:sz w:val="18"/>
              <w:szCs w:val="28"/>
            </w:rPr>
            <w:t>n force 21 March 202</w:t>
          </w:r>
          <w:r>
            <w:rPr>
              <w:color w:val="54534A"/>
              <w:sz w:val="18"/>
              <w:szCs w:val="28"/>
            </w:rPr>
            <w:t>2</w:t>
          </w:r>
        </w:p>
      </w:tc>
      <w:tc>
        <w:tcPr>
          <w:tcW w:w="4509" w:type="dxa"/>
          <w:vAlign w:val="bottom"/>
        </w:tcPr>
        <w:p w14:paraId="15C880DF" w14:textId="77777777" w:rsidR="001137E4" w:rsidRPr="007D225D" w:rsidRDefault="001137E4" w:rsidP="001137E4">
          <w:pPr>
            <w:pStyle w:val="Footer"/>
            <w:jc w:val="right"/>
            <w:rPr>
              <w:sz w:val="18"/>
              <w:szCs w:val="28"/>
            </w:rPr>
          </w:pPr>
          <w:r w:rsidRPr="007D225D">
            <w:rPr>
              <w:szCs w:val="36"/>
            </w:rPr>
            <w:fldChar w:fldCharType="begin"/>
          </w:r>
          <w:r w:rsidRPr="007D225D">
            <w:rPr>
              <w:szCs w:val="36"/>
            </w:rPr>
            <w:instrText xml:space="preserve"> PAGE   \* MERGEFORMAT </w:instrText>
          </w:r>
          <w:r w:rsidRPr="007D225D">
            <w:rPr>
              <w:szCs w:val="36"/>
            </w:rPr>
            <w:fldChar w:fldCharType="separate"/>
          </w:r>
          <w:r>
            <w:rPr>
              <w:szCs w:val="36"/>
            </w:rPr>
            <w:t>12</w:t>
          </w:r>
          <w:r w:rsidRPr="007D225D">
            <w:rPr>
              <w:noProof/>
              <w:szCs w:val="36"/>
            </w:rPr>
            <w:fldChar w:fldCharType="end"/>
          </w:r>
        </w:p>
      </w:tc>
    </w:tr>
  </w:tbl>
  <w:p w14:paraId="1658CAB4" w14:textId="026BF313" w:rsidR="00F04AD3" w:rsidRPr="00AE3E3E" w:rsidRDefault="00F04AD3" w:rsidP="001137E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FA5D" w14:textId="77777777" w:rsidR="001137E4" w:rsidRDefault="001137E4" w:rsidP="001137E4">
    <w:pPr>
      <w:pStyle w:val="Foote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9"/>
    </w:tblGrid>
    <w:tr w:rsidR="001137E4" w:rsidRPr="007D225D" w14:paraId="3151AA5D" w14:textId="77777777" w:rsidTr="001137E4">
      <w:tc>
        <w:tcPr>
          <w:tcW w:w="4508" w:type="dxa"/>
          <w:vAlign w:val="bottom"/>
        </w:tcPr>
        <w:p w14:paraId="530387D8" w14:textId="641BB8DC" w:rsidR="001137E4" w:rsidRPr="00F70CF9" w:rsidRDefault="00766BD9" w:rsidP="001137E4">
          <w:pPr>
            <w:pStyle w:val="Footer"/>
            <w:jc w:val="both"/>
            <w:rPr>
              <w:color w:val="54534A"/>
              <w:sz w:val="18"/>
              <w:szCs w:val="28"/>
            </w:rPr>
          </w:pPr>
          <w:r>
            <w:rPr>
              <w:color w:val="54534A"/>
              <w:sz w:val="18"/>
              <w:szCs w:val="28"/>
            </w:rPr>
            <w:t>VERSION</w:t>
          </w:r>
          <w:r w:rsidR="003C229E" w:rsidRPr="006C3C62">
            <w:rPr>
              <w:color w:val="54534A"/>
              <w:sz w:val="18"/>
              <w:szCs w:val="28"/>
            </w:rPr>
            <w:t xml:space="preserve"> B1.0, </w:t>
          </w:r>
          <w:r w:rsidR="003C229E">
            <w:rPr>
              <w:color w:val="54534A"/>
              <w:sz w:val="18"/>
              <w:szCs w:val="28"/>
            </w:rPr>
            <w:t>i</w:t>
          </w:r>
          <w:r w:rsidR="003C229E" w:rsidRPr="006C3C62">
            <w:rPr>
              <w:color w:val="54534A"/>
              <w:sz w:val="18"/>
              <w:szCs w:val="28"/>
            </w:rPr>
            <w:t>n force 21 March 202</w:t>
          </w:r>
          <w:r w:rsidR="00654081">
            <w:rPr>
              <w:color w:val="54534A"/>
              <w:sz w:val="18"/>
              <w:szCs w:val="28"/>
            </w:rPr>
            <w:t>2</w:t>
          </w:r>
        </w:p>
      </w:tc>
      <w:tc>
        <w:tcPr>
          <w:tcW w:w="4509" w:type="dxa"/>
          <w:vAlign w:val="bottom"/>
        </w:tcPr>
        <w:p w14:paraId="497F3CF0" w14:textId="77777777" w:rsidR="001137E4" w:rsidRPr="007D225D" w:rsidRDefault="001137E4" w:rsidP="001137E4">
          <w:pPr>
            <w:pStyle w:val="Footer"/>
            <w:jc w:val="right"/>
            <w:rPr>
              <w:sz w:val="18"/>
              <w:szCs w:val="28"/>
            </w:rPr>
          </w:pPr>
          <w:r w:rsidRPr="007D225D">
            <w:rPr>
              <w:szCs w:val="36"/>
            </w:rPr>
            <w:fldChar w:fldCharType="begin"/>
          </w:r>
          <w:r w:rsidRPr="007D225D">
            <w:rPr>
              <w:szCs w:val="36"/>
            </w:rPr>
            <w:instrText xml:space="preserve"> PAGE   \* MERGEFORMAT </w:instrText>
          </w:r>
          <w:r w:rsidRPr="007D225D">
            <w:rPr>
              <w:szCs w:val="36"/>
            </w:rPr>
            <w:fldChar w:fldCharType="separate"/>
          </w:r>
          <w:r>
            <w:rPr>
              <w:szCs w:val="36"/>
            </w:rPr>
            <w:t>12</w:t>
          </w:r>
          <w:r w:rsidRPr="007D225D">
            <w:rPr>
              <w:noProof/>
              <w:szCs w:val="36"/>
            </w:rPr>
            <w:fldChar w:fldCharType="end"/>
          </w:r>
        </w:p>
      </w:tc>
    </w:tr>
  </w:tbl>
  <w:p w14:paraId="6B76879C" w14:textId="36EFCD2A" w:rsidR="00F04AD3" w:rsidRPr="00AE3E3E" w:rsidRDefault="00F04AD3" w:rsidP="00146B1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F703" w14:textId="77777777" w:rsidR="003D36DF" w:rsidRDefault="003D36DF">
      <w:pPr>
        <w:spacing w:after="0" w:line="240" w:lineRule="auto"/>
      </w:pPr>
      <w:r>
        <w:separator/>
      </w:r>
    </w:p>
  </w:footnote>
  <w:footnote w:type="continuationSeparator" w:id="0">
    <w:p w14:paraId="4B6CD665" w14:textId="77777777" w:rsidR="003D36DF" w:rsidRDefault="003D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657F" w14:textId="77777777" w:rsidR="00F04AD3" w:rsidRDefault="00BE6994">
    <w:pPr>
      <w:spacing w:after="0" w:line="259" w:lineRule="auto"/>
      <w:ind w:left="3"/>
      <w:jc w:val="center"/>
    </w:pPr>
    <w:r>
      <w:rPr>
        <w:color w:val="54534A"/>
      </w:rPr>
      <w:t xml:space="preserve">DRAFT </w:t>
    </w:r>
  </w:p>
  <w:p w14:paraId="6069C314" w14:textId="77777777" w:rsidR="00F04AD3" w:rsidRDefault="00BE6994">
    <w:r>
      <w:rPr>
        <w:rFonts w:ascii="Calibri" w:eastAsia="Calibri" w:hAnsi="Calibri" w:cs="Calibri"/>
        <w:noProof/>
      </w:rPr>
      <mc:AlternateContent>
        <mc:Choice Requires="wpg">
          <w:drawing>
            <wp:anchor distT="0" distB="0" distL="114300" distR="114300" simplePos="0" relativeHeight="251657216" behindDoc="1" locked="0" layoutInCell="1" allowOverlap="1" wp14:anchorId="20902E43" wp14:editId="564B91C9">
              <wp:simplePos x="0" y="0"/>
              <wp:positionH relativeFrom="page">
                <wp:posOffset>1182688</wp:posOffset>
              </wp:positionH>
              <wp:positionV relativeFrom="page">
                <wp:posOffset>2874137</wp:posOffset>
              </wp:positionV>
              <wp:extent cx="4672267" cy="4936236"/>
              <wp:effectExtent l="0" t="0" r="0" b="0"/>
              <wp:wrapNone/>
              <wp:docPr id="4075" name="Group 4075"/>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4082" name="Shape 4082"/>
                      <wps:cNvSpPr/>
                      <wps:spPr>
                        <a:xfrm>
                          <a:off x="0" y="3160268"/>
                          <a:ext cx="907584" cy="1335769"/>
                        </a:xfrm>
                        <a:custGeom>
                          <a:avLst/>
                          <a:gdLst/>
                          <a:ahLst/>
                          <a:cxnLst/>
                          <a:rect l="0" t="0" r="0" b="0"/>
                          <a:pathLst>
                            <a:path w="907584" h="1335769">
                              <a:moveTo>
                                <a:pt x="579993" y="540"/>
                              </a:moveTo>
                              <a:cubicBezTo>
                                <a:pt x="624554" y="1079"/>
                                <a:pt x="670433" y="7048"/>
                                <a:pt x="717486" y="18923"/>
                              </a:cubicBezTo>
                              <a:cubicBezTo>
                                <a:pt x="764730" y="31686"/>
                                <a:pt x="813117" y="48927"/>
                                <a:pt x="862378" y="71199"/>
                              </a:cubicBezTo>
                              <a:lnTo>
                                <a:pt x="907584" y="93800"/>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7"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6" y="83947"/>
                                <a:pt x="366966" y="34417"/>
                                <a:pt x="450405" y="14732"/>
                              </a:cubicBezTo>
                              <a:cubicBezTo>
                                <a:pt x="492189"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3" name="Shape 4083"/>
                      <wps:cNvSpPr/>
                      <wps:spPr>
                        <a:xfrm>
                          <a:off x="907584" y="3254069"/>
                          <a:ext cx="870098" cy="1682168"/>
                        </a:xfrm>
                        <a:custGeom>
                          <a:avLst/>
                          <a:gdLst/>
                          <a:ahLst/>
                          <a:cxnLst/>
                          <a:rect l="0" t="0" r="0" b="0"/>
                          <a:pathLst>
                            <a:path w="870098" h="1682168">
                              <a:moveTo>
                                <a:pt x="0" y="0"/>
                              </a:moveTo>
                              <a:lnTo>
                                <a:pt x="29305" y="14651"/>
                              </a:lnTo>
                              <a:cubicBezTo>
                                <a:pt x="54338" y="28373"/>
                                <a:pt x="79555" y="43423"/>
                                <a:pt x="104923" y="59869"/>
                              </a:cubicBezTo>
                              <a:cubicBezTo>
                                <a:pt x="206396" y="125656"/>
                                <a:pt x="310917" y="211888"/>
                                <a:pt x="416200" y="317171"/>
                              </a:cubicBezTo>
                              <a:cubicBezTo>
                                <a:pt x="537612" y="438710"/>
                                <a:pt x="634132" y="554661"/>
                                <a:pt x="704998" y="664008"/>
                              </a:cubicBezTo>
                              <a:cubicBezTo>
                                <a:pt x="777134" y="774499"/>
                                <a:pt x="823108" y="877369"/>
                                <a:pt x="846603" y="973888"/>
                              </a:cubicBezTo>
                              <a:cubicBezTo>
                                <a:pt x="870098" y="1070408"/>
                                <a:pt x="868193" y="1161849"/>
                                <a:pt x="844317" y="1245287"/>
                              </a:cubicBezTo>
                              <a:cubicBezTo>
                                <a:pt x="820441" y="1328726"/>
                                <a:pt x="770784" y="1407721"/>
                                <a:pt x="696108" y="1482524"/>
                              </a:cubicBezTo>
                              <a:cubicBezTo>
                                <a:pt x="634513" y="1543991"/>
                                <a:pt x="573045" y="1605586"/>
                                <a:pt x="511450" y="1667055"/>
                              </a:cubicBezTo>
                              <a:cubicBezTo>
                                <a:pt x="501290" y="1677214"/>
                                <a:pt x="485796" y="1682168"/>
                                <a:pt x="465095" y="1678738"/>
                              </a:cubicBezTo>
                              <a:cubicBezTo>
                                <a:pt x="444775" y="1677087"/>
                                <a:pt x="420518" y="1662483"/>
                                <a:pt x="392324" y="1634288"/>
                              </a:cubicBezTo>
                              <a:lnTo>
                                <a:pt x="0" y="1241968"/>
                              </a:lnTo>
                              <a:lnTo>
                                <a:pt x="0" y="1010189"/>
                              </a:lnTo>
                              <a:lnTo>
                                <a:pt x="427884" y="1438074"/>
                              </a:lnTo>
                              <a:cubicBezTo>
                                <a:pt x="467762" y="1398323"/>
                                <a:pt x="507513" y="1358572"/>
                                <a:pt x="547264" y="1318821"/>
                              </a:cubicBezTo>
                              <a:cubicBezTo>
                                <a:pt x="603144" y="1262813"/>
                                <a:pt x="639339" y="1205663"/>
                                <a:pt x="654452" y="1144323"/>
                              </a:cubicBezTo>
                              <a:cubicBezTo>
                                <a:pt x="669565" y="1083108"/>
                                <a:pt x="668676" y="1017703"/>
                                <a:pt x="646959" y="945568"/>
                              </a:cubicBezTo>
                              <a:cubicBezTo>
                                <a:pt x="625369" y="873558"/>
                                <a:pt x="588412" y="796088"/>
                                <a:pt x="530373" y="713031"/>
                              </a:cubicBezTo>
                              <a:cubicBezTo>
                                <a:pt x="473350" y="630861"/>
                                <a:pt x="397277" y="542215"/>
                                <a:pt x="301773" y="446711"/>
                              </a:cubicBezTo>
                              <a:cubicBezTo>
                                <a:pt x="225827" y="370765"/>
                                <a:pt x="149119" y="306503"/>
                                <a:pt x="71649" y="251513"/>
                              </a:cubicBezTo>
                              <a:cubicBezTo>
                                <a:pt x="52536" y="238051"/>
                                <a:pt x="33518" y="225620"/>
                                <a:pt x="14609"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0" name="Shape 4080"/>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6"/>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1" name="Shape 4081"/>
                      <wps:cNvSpPr/>
                      <wps:spPr>
                        <a:xfrm>
                          <a:off x="1419265"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4"/>
                                <a:pt x="1252371" y="1273297"/>
                              </a:cubicBezTo>
                              <a:cubicBezTo>
                                <a:pt x="1244243" y="1270631"/>
                                <a:pt x="1234591" y="1265042"/>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9"/>
                                <a:pt x="896263" y="1670681"/>
                              </a:cubicBezTo>
                              <a:cubicBezTo>
                                <a:pt x="889913" y="1679189"/>
                                <a:pt x="881531" y="1689604"/>
                                <a:pt x="870101" y="1701033"/>
                              </a:cubicBezTo>
                              <a:cubicBezTo>
                                <a:pt x="858671" y="1712590"/>
                                <a:pt x="848892" y="1720337"/>
                                <a:pt x="840383" y="1726560"/>
                              </a:cubicBezTo>
                              <a:cubicBezTo>
                                <a:pt x="830731" y="1731767"/>
                                <a:pt x="822603" y="1735831"/>
                                <a:pt x="814602" y="1737229"/>
                              </a:cubicBezTo>
                              <a:cubicBezTo>
                                <a:pt x="807744" y="1739641"/>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8" name="Shape 407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7"/>
                              </a:lnTo>
                              <a:cubicBezTo>
                                <a:pt x="240157" y="250634"/>
                                <a:pt x="239903" y="250888"/>
                                <a:pt x="239776" y="251142"/>
                              </a:cubicBezTo>
                              <a:cubicBezTo>
                                <a:pt x="331914" y="392494"/>
                                <a:pt x="423227" y="534384"/>
                                <a:pt x="514541" y="676243"/>
                              </a:cubicBezTo>
                              <a:lnTo>
                                <a:pt x="666179" y="910744"/>
                              </a:lnTo>
                              <a:lnTo>
                                <a:pt x="666179" y="1195585"/>
                              </a:lnTo>
                              <a:lnTo>
                                <a:pt x="520763" y="966105"/>
                              </a:lnTo>
                              <a:cubicBezTo>
                                <a:pt x="352710" y="699643"/>
                                <a:pt x="184658" y="433197"/>
                                <a:pt x="14859" y="167830"/>
                              </a:cubicBezTo>
                              <a:cubicBezTo>
                                <a:pt x="9271" y="158178"/>
                                <a:pt x="4826" y="149669"/>
                                <a:pt x="2794" y="140906"/>
                              </a:cubicBezTo>
                              <a:cubicBezTo>
                                <a:pt x="0" y="132778"/>
                                <a:pt x="889" y="125412"/>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9" name="Shape 4079"/>
                      <wps:cNvSpPr/>
                      <wps:spPr>
                        <a:xfrm>
                          <a:off x="2460244" y="1949324"/>
                          <a:ext cx="1164400" cy="1499234"/>
                        </a:xfrm>
                        <a:custGeom>
                          <a:avLst/>
                          <a:gdLst/>
                          <a:ahLst/>
                          <a:cxnLst/>
                          <a:rect l="0" t="0" r="0" b="0"/>
                          <a:pathLst>
                            <a:path w="1164400" h="1499234">
                              <a:moveTo>
                                <a:pt x="0" y="0"/>
                              </a:moveTo>
                              <a:lnTo>
                                <a:pt x="302451" y="191642"/>
                              </a:lnTo>
                              <a:cubicBezTo>
                                <a:pt x="568928" y="359695"/>
                                <a:pt x="835406" y="527747"/>
                                <a:pt x="1100772" y="697483"/>
                              </a:cubicBezTo>
                              <a:cubicBezTo>
                                <a:pt x="1120331" y="710437"/>
                                <a:pt x="1134428" y="720343"/>
                                <a:pt x="1144841" y="729360"/>
                              </a:cubicBezTo>
                              <a:cubicBezTo>
                                <a:pt x="1154621" y="739139"/>
                                <a:pt x="1160082" y="748791"/>
                                <a:pt x="1162240" y="757554"/>
                              </a:cubicBezTo>
                              <a:cubicBezTo>
                                <a:pt x="1164400" y="766317"/>
                                <a:pt x="1161478" y="775588"/>
                                <a:pt x="1154494" y="784859"/>
                              </a:cubicBezTo>
                              <a:cubicBezTo>
                                <a:pt x="1146873" y="794765"/>
                                <a:pt x="1137095" y="806576"/>
                                <a:pt x="1122871" y="820673"/>
                              </a:cubicBezTo>
                              <a:cubicBezTo>
                                <a:pt x="1108773" y="834897"/>
                                <a:pt x="1097978" y="845692"/>
                                <a:pt x="1088834" y="852677"/>
                              </a:cubicBezTo>
                              <a:cubicBezTo>
                                <a:pt x="1079056" y="860297"/>
                                <a:pt x="1070801" y="864234"/>
                                <a:pt x="1063434" y="864996"/>
                              </a:cubicBezTo>
                              <a:cubicBezTo>
                                <a:pt x="1056577" y="867536"/>
                                <a:pt x="1050608" y="867028"/>
                                <a:pt x="1044258" y="864742"/>
                              </a:cubicBezTo>
                              <a:cubicBezTo>
                                <a:pt x="1037908" y="862329"/>
                                <a:pt x="1030415" y="859027"/>
                                <a:pt x="1021905" y="854455"/>
                              </a:cubicBezTo>
                              <a:cubicBezTo>
                                <a:pt x="883476" y="764920"/>
                                <a:pt x="743776" y="677036"/>
                                <a:pt x="605346" y="587501"/>
                              </a:cubicBezTo>
                              <a:cubicBezTo>
                                <a:pt x="484569" y="708278"/>
                                <a:pt x="363665" y="829182"/>
                                <a:pt x="242760" y="949959"/>
                              </a:cubicBezTo>
                              <a:cubicBezTo>
                                <a:pt x="332041" y="1085976"/>
                                <a:pt x="419545" y="1223009"/>
                                <a:pt x="508826" y="1358899"/>
                              </a:cubicBezTo>
                              <a:cubicBezTo>
                                <a:pt x="514033" y="1366773"/>
                                <a:pt x="517334" y="1374139"/>
                                <a:pt x="519747" y="1380489"/>
                              </a:cubicBezTo>
                              <a:cubicBezTo>
                                <a:pt x="523177" y="1387982"/>
                                <a:pt x="522922" y="1394586"/>
                                <a:pt x="522288" y="1401952"/>
                              </a:cubicBezTo>
                              <a:cubicBezTo>
                                <a:pt x="521907" y="1410969"/>
                                <a:pt x="517970" y="1419224"/>
                                <a:pt x="511620" y="1427733"/>
                              </a:cubicBezTo>
                              <a:cubicBezTo>
                                <a:pt x="504634" y="1436877"/>
                                <a:pt x="495617" y="1448053"/>
                                <a:pt x="482790" y="1460880"/>
                              </a:cubicBezTo>
                              <a:cubicBezTo>
                                <a:pt x="469964" y="1473580"/>
                                <a:pt x="458153" y="1483359"/>
                                <a:pt x="449009" y="1490344"/>
                              </a:cubicBezTo>
                              <a:cubicBezTo>
                                <a:pt x="437959" y="1496948"/>
                                <a:pt x="429323" y="1499234"/>
                                <a:pt x="420560" y="1497075"/>
                              </a:cubicBezTo>
                              <a:cubicBezTo>
                                <a:pt x="411797" y="1494916"/>
                                <a:pt x="402272" y="1489455"/>
                                <a:pt x="393128" y="1479041"/>
                              </a:cubicBezTo>
                              <a:cubicBezTo>
                                <a:pt x="383349" y="1469262"/>
                                <a:pt x="373444" y="1455165"/>
                                <a:pt x="360490" y="1435607"/>
                              </a:cubicBezTo>
                              <a:lnTo>
                                <a:pt x="0" y="866717"/>
                              </a:lnTo>
                              <a:lnTo>
                                <a:pt x="0" y="581877"/>
                              </a:lnTo>
                              <a:lnTo>
                                <a:pt x="123127" y="772286"/>
                              </a:lnTo>
                              <a:cubicBezTo>
                                <a:pt x="224218" y="671321"/>
                                <a:pt x="325310" y="570229"/>
                                <a:pt x="426403" y="469137"/>
                              </a:cubicBezTo>
                              <a:cubicBezTo>
                                <a:pt x="284734" y="377316"/>
                                <a:pt x="142526"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7" name="Shape 407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6" name="Shape 407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5"/>
                                <a:pt x="740664" y="89915"/>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5"/>
                              </a:cubicBezTo>
                              <a:cubicBezTo>
                                <a:pt x="143764" y="775843"/>
                                <a:pt x="137287" y="773557"/>
                                <a:pt x="128778" y="768985"/>
                              </a:cubicBezTo>
                              <a:cubicBezTo>
                                <a:pt x="121412" y="765556"/>
                                <a:pt x="111379" y="758317"/>
                                <a:pt x="100965" y="749173"/>
                              </a:cubicBezTo>
                              <a:cubicBezTo>
                                <a:pt x="89789" y="740790"/>
                                <a:pt x="77216" y="729488"/>
                                <a:pt x="63119" y="715390"/>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789D2E8" id="Group 4075" o:spid="_x0000_s1026" style="position:absolute;margin-left:93.15pt;margin-top:226.3pt;width:367.9pt;height:388.7pt;z-index:-25165926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">
              <v:shape id="Shape 408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" path="m579993,540v44561,539,90440,6508,137493,18383c764730,31686,813117,48927,862378,71199r45206,22601l907584,299848,865807,276590c828453,257588,791591,242379,755333,230632,700945,213106,648772,206439,598384,208701v-16795,754,-33393,2500,-49807,5167c482917,224536,420815,261366,360871,321310v-39370,39370,-78614,78613,-117983,117983l907584,1103990r,231779l47803,475996c19545,447802,4966,423418,2261,402082,,382524,4851,366903,14973,356870,80747,291084,146621,225171,212407,159385,287846,83947,366966,34417,450405,14732,492189,4889,535432,,579993,540xe" fillcolor="silver" stroked="f" strokeweight="0">
                <v:fill opacity="32896f"/>
                <v:stroke miterlimit="83231f" joinstyle="miter"/>
                <v:path arrowok="t" textboxrect="0,0,907584,1335769"/>
              </v:shape>
              <v:shape id="Shape 4083" o:spid="_x0000_s1028" style="position:absolute;left:9075;top:32540;width:8701;height:16822;visibility:visible;mso-wrap-style:square;v-text-anchor:top" coordsize="870098,16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" path="m,l29305,14651v25033,13722,50250,28772,75618,45218c206396,125656,310917,211888,416200,317171,537612,438710,634132,554661,704998,664008v72136,110491,118110,213361,141605,309880c870098,1070408,868193,1161849,844317,1245287v-23876,83439,-73533,162434,-148209,237237c634513,1543991,573045,1605586,511450,1667055v-10160,10159,-25654,15113,-46355,11683c444775,1677087,420518,1662483,392324,1634288l,1241968,,1010189r427884,427885c467762,1398323,507513,1358572,547264,1318821v55880,-56008,92075,-113158,107188,-174498c669565,1083108,668676,1017703,646959,945568,625369,873558,588412,796088,530373,713031,473350,630861,397277,542215,301773,446711,225827,370765,149119,306503,71649,251513,52536,238051,33518,225620,14609,214180l,206048,,xe" fillcolor="silver" stroked="f" strokeweight="0">
                <v:fill opacity="32896f"/>
                <v:stroke miterlimit="83231f" joinstyle="miter"/>
                <v:path arrowok="t" textboxrect="0,0,870098,1682168"/>
              </v:shape>
              <v:shape id="Shape 408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6,483711,,507254,1874xe" fillcolor="silver" stroked="f" strokeweight="0">
                <v:fill opacity="32896f"/>
                <v:stroke miterlimit="83231f" joinstyle="miter"/>
                <v:path arrowok="t" textboxrect="0,0,570206,960458"/>
              </v:shape>
              <v:shape id="Shape 4081" o:spid="_x0000_s1030" style="position:absolute;left:14192;top:23627;width:13756;height:17396;visibility:visible;mso-wrap-style:square;v-text-anchor:top" coordsize="1375561,1739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5,1309775,1259454,1301266,1265677v-8509,6223,-16764,10287,-25781,10668c1267484,1277615,1259737,1276854,1252371,1273297v-8128,-2666,-17780,-8255,-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5,-9906,25147c889913,1679189,881531,1689604,870101,1701033v-11430,11557,-21209,19304,-29718,25527c830731,1731767,822603,1735831,814602,1737229v-6858,2412,-12954,2031,-19177,-382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1"/>
              </v:shape>
              <v:shape id="Shape 407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" path="m129778,317v4080,-317,8080,,12462,1143c151003,3492,160655,8953,170307,14668l666179,328868r,195184l240411,250507v-254,127,-508,381,-635,635c331914,392494,423227,534384,514541,676243l666179,910744r,284841l520763,966105c352710,699643,184658,433197,14859,167830,9271,158178,4826,149669,2794,140906,,132778,889,125412,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407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" path="m,l302451,191642v266477,168053,532955,336105,798321,505841c1120331,710437,1134428,720343,1144841,729360v9780,9779,15241,19431,17399,28194c1164400,766317,1161478,775588,1154494,784859v-7621,9906,-17399,21717,-31623,35814c1108773,834897,1097978,845692,1088834,852677v-9778,7620,-18033,11557,-25400,12319c1056577,867536,1050608,867028,1044258,864742v-6350,-2413,-13843,-5715,-22353,-10287c883476,764920,743776,677036,605346,587501,484569,708278,363665,829182,242760,949959v89281,136017,176785,273050,266066,408940c514033,1366773,517334,1374139,519747,1380489v3430,7493,3175,14097,2541,21463c521907,1410969,517970,1419224,511620,1427733v-6986,9144,-16003,20320,-28830,33147c469964,1473580,458153,1483359,449009,1490344v-11050,6604,-19686,8890,-28449,6731c411797,1494916,402272,1489455,393128,1479041v-9779,-9779,-19684,-23876,-32638,-43434l,866717,,581877,123127,772286c224218,671321,325310,570229,426403,469137,284734,377316,142526,286352,317,195388l,195184,,xe" fillcolor="silver" stroked="f" strokeweight="0">
                <v:fill opacity="32896f"/>
                <v:stroke miterlimit="83231f" joinstyle="miter"/>
                <v:path arrowok="t" textboxrect="0,0,1164400,1499234"/>
              </v:shape>
              <v:shape id="Shape 407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407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" path="m626618,v5969,635,12954,2159,21463,6731c656590,11176,666750,18542,677164,27559v11557,10287,24130,21463,38227,35560c729488,77215,740664,89915,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79c143764,775843,137287,773557,128778,768985v-7366,-3429,-17399,-10668,-27813,-19812c89789,740790,77216,729488,63119,715390,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767E" w14:textId="59BBF0A0" w:rsidR="00B51456" w:rsidRPr="00375DB7" w:rsidRDefault="00375DB7" w:rsidP="00375DB7">
    <w:pPr>
      <w:pStyle w:val="Header"/>
    </w:pPr>
    <w:r w:rsidRPr="00375DB7">
      <w:rPr>
        <w:color w:val="003768"/>
        <w:sz w:val="18"/>
      </w:rPr>
      <w:t>International Data Transfer Addendum to the EU Commission Standard Contractual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741"/>
    <w:multiLevelType w:val="hybridMultilevel"/>
    <w:tmpl w:val="5CFCB0AE"/>
    <w:lvl w:ilvl="0" w:tplc="1AF804CA">
      <w:start w:val="1"/>
      <w:numFmt w:val="lowerLetter"/>
      <w:lvlText w:val="%1."/>
      <w:lvlJc w:val="left"/>
      <w:pPr>
        <w:ind w:left="1080" w:firstLine="0"/>
      </w:pPr>
      <w:rPr>
        <w:rFonts w:ascii="Verdana" w:eastAsia="Verdana" w:hAnsi="Verdana" w:cs="Verdana"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33D0"/>
    <w:multiLevelType w:val="hybridMultilevel"/>
    <w:tmpl w:val="0D78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D3146"/>
    <w:multiLevelType w:val="hybridMultilevel"/>
    <w:tmpl w:val="17E0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6DAB"/>
    <w:multiLevelType w:val="hybridMultilevel"/>
    <w:tmpl w:val="05443E5A"/>
    <w:lvl w:ilvl="0" w:tplc="06984928">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1885697D"/>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C15F5F"/>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332714"/>
    <w:multiLevelType w:val="hybridMultilevel"/>
    <w:tmpl w:val="AE384F38"/>
    <w:lvl w:ilvl="0" w:tplc="CA6C1B4C">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DA62F3"/>
    <w:multiLevelType w:val="hybridMultilevel"/>
    <w:tmpl w:val="55E6CA88"/>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262EED"/>
    <w:multiLevelType w:val="hybridMultilevel"/>
    <w:tmpl w:val="AEDA8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21B4ACE"/>
    <w:multiLevelType w:val="hybridMultilevel"/>
    <w:tmpl w:val="158E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214C15"/>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787184"/>
    <w:multiLevelType w:val="multilevel"/>
    <w:tmpl w:val="460A64D8"/>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decimal"/>
      <w:pStyle w:val="Level6"/>
      <w:lvlText w:val="(%6)"/>
      <w:lvlJc w:val="left"/>
      <w:pPr>
        <w:tabs>
          <w:tab w:val="num" w:pos="3686"/>
        </w:tabs>
        <w:ind w:left="3686" w:hanging="567"/>
      </w:pPr>
    </w:lvl>
    <w:lvl w:ilvl="6">
      <w:start w:val="1"/>
      <w:numFmt w:val="upperLetter"/>
      <w:pStyle w:val="Level7"/>
      <w:lvlText w:val="(%7)"/>
      <w:lvlJc w:val="left"/>
      <w:pPr>
        <w:tabs>
          <w:tab w:val="num" w:pos="4253"/>
        </w:tabs>
        <w:ind w:left="4253" w:hanging="567"/>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15:restartNumberingAfterBreak="0">
    <w:nsid w:val="6B880425"/>
    <w:multiLevelType w:val="hybridMultilevel"/>
    <w:tmpl w:val="DD024666"/>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CB36E91"/>
    <w:multiLevelType w:val="hybridMultilevel"/>
    <w:tmpl w:val="AE2A021C"/>
    <w:lvl w:ilvl="0" w:tplc="A0BCD44E">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17"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49E2ADB"/>
    <w:multiLevelType w:val="hybridMultilevel"/>
    <w:tmpl w:val="B330BF4C"/>
    <w:lvl w:ilvl="0" w:tplc="451A78F0">
      <w:start w:val="1"/>
      <w:numFmt w:val="lowerLetter"/>
      <w:lvlText w:val="%1."/>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126D26A">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C428BD7C">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B38047E">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C668670">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93A1FCE">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42CC32A">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1F07E0A">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FE2E512">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3C668C"/>
    <w:multiLevelType w:val="hybridMultilevel"/>
    <w:tmpl w:val="B0788AB8"/>
    <w:lvl w:ilvl="0" w:tplc="3AF642D6">
      <w:start w:val="3"/>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CAA12D8">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93017B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447CA0C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8328C3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F9AA17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09A175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A387642">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D5EF1CA">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819081227">
    <w:abstractNumId w:val="8"/>
  </w:num>
  <w:num w:numId="2" w16cid:durableId="1159425923">
    <w:abstractNumId w:val="19"/>
  </w:num>
  <w:num w:numId="3" w16cid:durableId="860364391">
    <w:abstractNumId w:val="7"/>
  </w:num>
  <w:num w:numId="4" w16cid:durableId="144248340">
    <w:abstractNumId w:val="18"/>
  </w:num>
  <w:num w:numId="5" w16cid:durableId="646672085">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244810">
    <w:abstractNumId w:val="6"/>
  </w:num>
  <w:num w:numId="7" w16cid:durableId="1930650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388609">
    <w:abstractNumId w:val="16"/>
  </w:num>
  <w:num w:numId="9" w16cid:durableId="139929461">
    <w:abstractNumId w:val="0"/>
  </w:num>
  <w:num w:numId="10" w16cid:durableId="901600020">
    <w:abstractNumId w:val="3"/>
  </w:num>
  <w:num w:numId="11" w16cid:durableId="1921401359">
    <w:abstractNumId w:val="17"/>
  </w:num>
  <w:num w:numId="12" w16cid:durableId="15540393">
    <w:abstractNumId w:val="9"/>
  </w:num>
  <w:num w:numId="13" w16cid:durableId="796411565">
    <w:abstractNumId w:val="10"/>
  </w:num>
  <w:num w:numId="14" w16cid:durableId="366413344">
    <w:abstractNumId w:val="1"/>
  </w:num>
  <w:num w:numId="15" w16cid:durableId="136617451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804225">
    <w:abstractNumId w:val="12"/>
  </w:num>
  <w:num w:numId="17" w16cid:durableId="1395199752">
    <w:abstractNumId w:val="15"/>
  </w:num>
  <w:num w:numId="18" w16cid:durableId="1994679269">
    <w:abstractNumId w:val="4"/>
  </w:num>
  <w:num w:numId="19" w16cid:durableId="1543324814">
    <w:abstractNumId w:val="5"/>
  </w:num>
  <w:num w:numId="20" w16cid:durableId="405420289">
    <w:abstractNumId w:val="14"/>
  </w:num>
  <w:num w:numId="21" w16cid:durableId="2018456566">
    <w:abstractNumId w:val="13"/>
  </w:num>
  <w:num w:numId="22" w16cid:durableId="201827083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431873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9785395">
    <w:abstractNumId w:val="11"/>
  </w:num>
  <w:num w:numId="25" w16cid:durableId="640887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E104FA9-22AC-4929-BF36-99F8FF512793}"/>
    <w:docVar w:name="dgnword-eventsink" w:val="552314424"/>
  </w:docVars>
  <w:rsids>
    <w:rsidRoot w:val="00F04AD3"/>
    <w:rsid w:val="00002C21"/>
    <w:rsid w:val="000067A9"/>
    <w:rsid w:val="00012EE1"/>
    <w:rsid w:val="00015C0B"/>
    <w:rsid w:val="00016B19"/>
    <w:rsid w:val="0001725E"/>
    <w:rsid w:val="0002546B"/>
    <w:rsid w:val="00030815"/>
    <w:rsid w:val="00036319"/>
    <w:rsid w:val="00037769"/>
    <w:rsid w:val="00044704"/>
    <w:rsid w:val="00050C60"/>
    <w:rsid w:val="00052911"/>
    <w:rsid w:val="00053B3B"/>
    <w:rsid w:val="00053C22"/>
    <w:rsid w:val="00054A4C"/>
    <w:rsid w:val="00054E4A"/>
    <w:rsid w:val="00056A7A"/>
    <w:rsid w:val="000619E1"/>
    <w:rsid w:val="000638C5"/>
    <w:rsid w:val="0006419A"/>
    <w:rsid w:val="00066A9D"/>
    <w:rsid w:val="000712DD"/>
    <w:rsid w:val="0007441A"/>
    <w:rsid w:val="00082531"/>
    <w:rsid w:val="00086917"/>
    <w:rsid w:val="0009079A"/>
    <w:rsid w:val="00092CC6"/>
    <w:rsid w:val="00094CDD"/>
    <w:rsid w:val="00096BE1"/>
    <w:rsid w:val="000A2884"/>
    <w:rsid w:val="000A3AD4"/>
    <w:rsid w:val="000A6C34"/>
    <w:rsid w:val="000A7B15"/>
    <w:rsid w:val="000B152F"/>
    <w:rsid w:val="000B35ED"/>
    <w:rsid w:val="000B6BCE"/>
    <w:rsid w:val="000B7D3B"/>
    <w:rsid w:val="000C1C1D"/>
    <w:rsid w:val="000C1CE4"/>
    <w:rsid w:val="000C2C1D"/>
    <w:rsid w:val="000C5CBB"/>
    <w:rsid w:val="000C7227"/>
    <w:rsid w:val="000D74F3"/>
    <w:rsid w:val="000E2171"/>
    <w:rsid w:val="000E3829"/>
    <w:rsid w:val="000E6985"/>
    <w:rsid w:val="000F1668"/>
    <w:rsid w:val="000F770A"/>
    <w:rsid w:val="00101CB1"/>
    <w:rsid w:val="00111006"/>
    <w:rsid w:val="001137E4"/>
    <w:rsid w:val="00113FF6"/>
    <w:rsid w:val="001146F0"/>
    <w:rsid w:val="001165AA"/>
    <w:rsid w:val="0012506A"/>
    <w:rsid w:val="00135900"/>
    <w:rsid w:val="00137134"/>
    <w:rsid w:val="00145894"/>
    <w:rsid w:val="00146B1B"/>
    <w:rsid w:val="0014758F"/>
    <w:rsid w:val="00147E70"/>
    <w:rsid w:val="00150473"/>
    <w:rsid w:val="00152F4A"/>
    <w:rsid w:val="0016141F"/>
    <w:rsid w:val="001627E0"/>
    <w:rsid w:val="0016282B"/>
    <w:rsid w:val="001700B8"/>
    <w:rsid w:val="00181D2F"/>
    <w:rsid w:val="00183826"/>
    <w:rsid w:val="00190254"/>
    <w:rsid w:val="001940B3"/>
    <w:rsid w:val="001965D8"/>
    <w:rsid w:val="0019696C"/>
    <w:rsid w:val="001A20D4"/>
    <w:rsid w:val="001A21D8"/>
    <w:rsid w:val="001A6036"/>
    <w:rsid w:val="001B24A1"/>
    <w:rsid w:val="001B339D"/>
    <w:rsid w:val="001C20E9"/>
    <w:rsid w:val="001C3A39"/>
    <w:rsid w:val="001D040C"/>
    <w:rsid w:val="001D3241"/>
    <w:rsid w:val="001D43AF"/>
    <w:rsid w:val="001E3C84"/>
    <w:rsid w:val="001E4E1C"/>
    <w:rsid w:val="001E7B89"/>
    <w:rsid w:val="001F41DE"/>
    <w:rsid w:val="002030EE"/>
    <w:rsid w:val="002035D5"/>
    <w:rsid w:val="00204FE6"/>
    <w:rsid w:val="00212373"/>
    <w:rsid w:val="002206D9"/>
    <w:rsid w:val="00226E88"/>
    <w:rsid w:val="00237792"/>
    <w:rsid w:val="00242447"/>
    <w:rsid w:val="002511AD"/>
    <w:rsid w:val="002528E5"/>
    <w:rsid w:val="00257AEA"/>
    <w:rsid w:val="002642F3"/>
    <w:rsid w:val="0026492C"/>
    <w:rsid w:val="0026684A"/>
    <w:rsid w:val="0027160F"/>
    <w:rsid w:val="0028507E"/>
    <w:rsid w:val="00294812"/>
    <w:rsid w:val="00295403"/>
    <w:rsid w:val="00295B53"/>
    <w:rsid w:val="002A4EBD"/>
    <w:rsid w:val="002B15C4"/>
    <w:rsid w:val="002B19C6"/>
    <w:rsid w:val="002B2EB7"/>
    <w:rsid w:val="002B346E"/>
    <w:rsid w:val="002B4A84"/>
    <w:rsid w:val="002B7B7A"/>
    <w:rsid w:val="002C0FE5"/>
    <w:rsid w:val="002C11B1"/>
    <w:rsid w:val="002C1858"/>
    <w:rsid w:val="002C3871"/>
    <w:rsid w:val="002C3F1D"/>
    <w:rsid w:val="002D1276"/>
    <w:rsid w:val="002D2E8D"/>
    <w:rsid w:val="002D4184"/>
    <w:rsid w:val="002D443B"/>
    <w:rsid w:val="002E456A"/>
    <w:rsid w:val="002F1B0C"/>
    <w:rsid w:val="002F2A46"/>
    <w:rsid w:val="002F3B19"/>
    <w:rsid w:val="002F73C9"/>
    <w:rsid w:val="0030088E"/>
    <w:rsid w:val="0030261E"/>
    <w:rsid w:val="003069F6"/>
    <w:rsid w:val="003139E1"/>
    <w:rsid w:val="00321F35"/>
    <w:rsid w:val="0032248C"/>
    <w:rsid w:val="00324B2F"/>
    <w:rsid w:val="00334DEB"/>
    <w:rsid w:val="00341CEA"/>
    <w:rsid w:val="00344EDC"/>
    <w:rsid w:val="0034513B"/>
    <w:rsid w:val="00350E4D"/>
    <w:rsid w:val="00356A53"/>
    <w:rsid w:val="00374852"/>
    <w:rsid w:val="00375DB7"/>
    <w:rsid w:val="00380231"/>
    <w:rsid w:val="003942A7"/>
    <w:rsid w:val="00396D2C"/>
    <w:rsid w:val="003A3388"/>
    <w:rsid w:val="003A4A6F"/>
    <w:rsid w:val="003A4D53"/>
    <w:rsid w:val="003A57D3"/>
    <w:rsid w:val="003C229E"/>
    <w:rsid w:val="003D36DF"/>
    <w:rsid w:val="003E1376"/>
    <w:rsid w:val="003E1C6C"/>
    <w:rsid w:val="003F2FA3"/>
    <w:rsid w:val="003F7FA7"/>
    <w:rsid w:val="00406AF4"/>
    <w:rsid w:val="0040702C"/>
    <w:rsid w:val="00407683"/>
    <w:rsid w:val="00407EC3"/>
    <w:rsid w:val="00407F59"/>
    <w:rsid w:val="00416186"/>
    <w:rsid w:val="00416740"/>
    <w:rsid w:val="00416A16"/>
    <w:rsid w:val="00424498"/>
    <w:rsid w:val="00426253"/>
    <w:rsid w:val="0042688D"/>
    <w:rsid w:val="00433843"/>
    <w:rsid w:val="00434792"/>
    <w:rsid w:val="00443172"/>
    <w:rsid w:val="00454BDA"/>
    <w:rsid w:val="004562D8"/>
    <w:rsid w:val="004836E1"/>
    <w:rsid w:val="004846EB"/>
    <w:rsid w:val="004921F4"/>
    <w:rsid w:val="004A7956"/>
    <w:rsid w:val="004A7B42"/>
    <w:rsid w:val="004B0FC0"/>
    <w:rsid w:val="004B48D7"/>
    <w:rsid w:val="004C3019"/>
    <w:rsid w:val="004C596C"/>
    <w:rsid w:val="004D10B2"/>
    <w:rsid w:val="004D5B0F"/>
    <w:rsid w:val="004E05C1"/>
    <w:rsid w:val="004E2D4F"/>
    <w:rsid w:val="004E37C0"/>
    <w:rsid w:val="004F0931"/>
    <w:rsid w:val="004F28CC"/>
    <w:rsid w:val="004F6A09"/>
    <w:rsid w:val="0050644F"/>
    <w:rsid w:val="00512A24"/>
    <w:rsid w:val="0051370D"/>
    <w:rsid w:val="00514FC9"/>
    <w:rsid w:val="0051727E"/>
    <w:rsid w:val="00524A98"/>
    <w:rsid w:val="0053020C"/>
    <w:rsid w:val="00544641"/>
    <w:rsid w:val="00546548"/>
    <w:rsid w:val="005467E3"/>
    <w:rsid w:val="0055223E"/>
    <w:rsid w:val="005535EB"/>
    <w:rsid w:val="00562690"/>
    <w:rsid w:val="005721F1"/>
    <w:rsid w:val="00572F78"/>
    <w:rsid w:val="005859AE"/>
    <w:rsid w:val="005928C9"/>
    <w:rsid w:val="00593657"/>
    <w:rsid w:val="005B17B5"/>
    <w:rsid w:val="005C6E60"/>
    <w:rsid w:val="005D69B3"/>
    <w:rsid w:val="005E770F"/>
    <w:rsid w:val="005F439A"/>
    <w:rsid w:val="005F6BC1"/>
    <w:rsid w:val="00604711"/>
    <w:rsid w:val="0060676D"/>
    <w:rsid w:val="00611F78"/>
    <w:rsid w:val="00627E24"/>
    <w:rsid w:val="006425EB"/>
    <w:rsid w:val="00652D9E"/>
    <w:rsid w:val="00654081"/>
    <w:rsid w:val="006566AA"/>
    <w:rsid w:val="0066476D"/>
    <w:rsid w:val="006736EC"/>
    <w:rsid w:val="00675281"/>
    <w:rsid w:val="006850B0"/>
    <w:rsid w:val="0068732E"/>
    <w:rsid w:val="00687A02"/>
    <w:rsid w:val="00694CE1"/>
    <w:rsid w:val="00695042"/>
    <w:rsid w:val="006A1EAC"/>
    <w:rsid w:val="006A6C80"/>
    <w:rsid w:val="006B0B76"/>
    <w:rsid w:val="006C0E3F"/>
    <w:rsid w:val="006C3C62"/>
    <w:rsid w:val="006D6E5E"/>
    <w:rsid w:val="006E476C"/>
    <w:rsid w:val="006E609F"/>
    <w:rsid w:val="006F2F9F"/>
    <w:rsid w:val="006F6B12"/>
    <w:rsid w:val="0070086D"/>
    <w:rsid w:val="00700E57"/>
    <w:rsid w:val="00701E05"/>
    <w:rsid w:val="00721251"/>
    <w:rsid w:val="0072665F"/>
    <w:rsid w:val="007325C6"/>
    <w:rsid w:val="00732E1E"/>
    <w:rsid w:val="00735103"/>
    <w:rsid w:val="007463D1"/>
    <w:rsid w:val="0075227B"/>
    <w:rsid w:val="0076036F"/>
    <w:rsid w:val="00766BD9"/>
    <w:rsid w:val="007770BD"/>
    <w:rsid w:val="00777C28"/>
    <w:rsid w:val="00796789"/>
    <w:rsid w:val="007A18C9"/>
    <w:rsid w:val="007B186C"/>
    <w:rsid w:val="007B7F7E"/>
    <w:rsid w:val="007D19BC"/>
    <w:rsid w:val="007D62B0"/>
    <w:rsid w:val="007E1A41"/>
    <w:rsid w:val="007F23CC"/>
    <w:rsid w:val="007F74E2"/>
    <w:rsid w:val="007F7620"/>
    <w:rsid w:val="00801811"/>
    <w:rsid w:val="00807615"/>
    <w:rsid w:val="00810BED"/>
    <w:rsid w:val="00814BD5"/>
    <w:rsid w:val="00831A33"/>
    <w:rsid w:val="008354B7"/>
    <w:rsid w:val="00837458"/>
    <w:rsid w:val="00844F5B"/>
    <w:rsid w:val="00852C88"/>
    <w:rsid w:val="00865611"/>
    <w:rsid w:val="00880258"/>
    <w:rsid w:val="00882AC2"/>
    <w:rsid w:val="008843FC"/>
    <w:rsid w:val="008869E3"/>
    <w:rsid w:val="008873EB"/>
    <w:rsid w:val="008945B8"/>
    <w:rsid w:val="00897060"/>
    <w:rsid w:val="008973C2"/>
    <w:rsid w:val="008A40E5"/>
    <w:rsid w:val="008C2143"/>
    <w:rsid w:val="008C47CC"/>
    <w:rsid w:val="008D1F08"/>
    <w:rsid w:val="008D7F09"/>
    <w:rsid w:val="008F0B85"/>
    <w:rsid w:val="008F28AE"/>
    <w:rsid w:val="00900707"/>
    <w:rsid w:val="009031BB"/>
    <w:rsid w:val="00904089"/>
    <w:rsid w:val="00906C89"/>
    <w:rsid w:val="00915F9D"/>
    <w:rsid w:val="009171A7"/>
    <w:rsid w:val="00920A37"/>
    <w:rsid w:val="009218FE"/>
    <w:rsid w:val="0093371E"/>
    <w:rsid w:val="00935628"/>
    <w:rsid w:val="00936C98"/>
    <w:rsid w:val="0094432C"/>
    <w:rsid w:val="00951D9E"/>
    <w:rsid w:val="00965995"/>
    <w:rsid w:val="00970E31"/>
    <w:rsid w:val="00975C28"/>
    <w:rsid w:val="0098504D"/>
    <w:rsid w:val="00985C25"/>
    <w:rsid w:val="009911AB"/>
    <w:rsid w:val="00992E39"/>
    <w:rsid w:val="00993F5E"/>
    <w:rsid w:val="009961B4"/>
    <w:rsid w:val="009A4800"/>
    <w:rsid w:val="009A7EC8"/>
    <w:rsid w:val="009B0190"/>
    <w:rsid w:val="009B77AD"/>
    <w:rsid w:val="009C3AB9"/>
    <w:rsid w:val="009C7838"/>
    <w:rsid w:val="009D146B"/>
    <w:rsid w:val="009D1883"/>
    <w:rsid w:val="009D1E83"/>
    <w:rsid w:val="009D32E8"/>
    <w:rsid w:val="009D4489"/>
    <w:rsid w:val="009D51D5"/>
    <w:rsid w:val="009E18EB"/>
    <w:rsid w:val="009E39F4"/>
    <w:rsid w:val="009E5073"/>
    <w:rsid w:val="009E54F2"/>
    <w:rsid w:val="009F1E0E"/>
    <w:rsid w:val="00A014F0"/>
    <w:rsid w:val="00A02BB5"/>
    <w:rsid w:val="00A03793"/>
    <w:rsid w:val="00A12129"/>
    <w:rsid w:val="00A34B95"/>
    <w:rsid w:val="00A445A4"/>
    <w:rsid w:val="00A46A94"/>
    <w:rsid w:val="00A46BEE"/>
    <w:rsid w:val="00A472CB"/>
    <w:rsid w:val="00A50CEA"/>
    <w:rsid w:val="00A5653F"/>
    <w:rsid w:val="00A579E0"/>
    <w:rsid w:val="00A671EC"/>
    <w:rsid w:val="00A709D4"/>
    <w:rsid w:val="00A75201"/>
    <w:rsid w:val="00A85563"/>
    <w:rsid w:val="00A91B6C"/>
    <w:rsid w:val="00AB2122"/>
    <w:rsid w:val="00AB4359"/>
    <w:rsid w:val="00AC09F3"/>
    <w:rsid w:val="00AC0B90"/>
    <w:rsid w:val="00AC214A"/>
    <w:rsid w:val="00AC6E39"/>
    <w:rsid w:val="00AC7A3C"/>
    <w:rsid w:val="00AD536D"/>
    <w:rsid w:val="00AD7F81"/>
    <w:rsid w:val="00AE3E3E"/>
    <w:rsid w:val="00AE6AA2"/>
    <w:rsid w:val="00AF0DE1"/>
    <w:rsid w:val="00AF176D"/>
    <w:rsid w:val="00AF5ADA"/>
    <w:rsid w:val="00B001E4"/>
    <w:rsid w:val="00B050DB"/>
    <w:rsid w:val="00B12B77"/>
    <w:rsid w:val="00B4222C"/>
    <w:rsid w:val="00B51456"/>
    <w:rsid w:val="00B532B5"/>
    <w:rsid w:val="00B53F98"/>
    <w:rsid w:val="00B6021D"/>
    <w:rsid w:val="00B621E7"/>
    <w:rsid w:val="00B66F36"/>
    <w:rsid w:val="00B66FC9"/>
    <w:rsid w:val="00B70627"/>
    <w:rsid w:val="00B719EB"/>
    <w:rsid w:val="00B74805"/>
    <w:rsid w:val="00B74DC4"/>
    <w:rsid w:val="00B7528D"/>
    <w:rsid w:val="00B81C9D"/>
    <w:rsid w:val="00B84DCE"/>
    <w:rsid w:val="00B8563E"/>
    <w:rsid w:val="00B93051"/>
    <w:rsid w:val="00BB5276"/>
    <w:rsid w:val="00BB7069"/>
    <w:rsid w:val="00BC52F7"/>
    <w:rsid w:val="00BE6994"/>
    <w:rsid w:val="00BF053C"/>
    <w:rsid w:val="00BF2BB9"/>
    <w:rsid w:val="00C02C8A"/>
    <w:rsid w:val="00C03F5A"/>
    <w:rsid w:val="00C12AD5"/>
    <w:rsid w:val="00C179F3"/>
    <w:rsid w:val="00C205C8"/>
    <w:rsid w:val="00C26408"/>
    <w:rsid w:val="00C26D41"/>
    <w:rsid w:val="00C30917"/>
    <w:rsid w:val="00C37D52"/>
    <w:rsid w:val="00C37FB6"/>
    <w:rsid w:val="00C552F0"/>
    <w:rsid w:val="00C559FE"/>
    <w:rsid w:val="00C603D3"/>
    <w:rsid w:val="00C61205"/>
    <w:rsid w:val="00C704BC"/>
    <w:rsid w:val="00C73A34"/>
    <w:rsid w:val="00C82655"/>
    <w:rsid w:val="00CA516D"/>
    <w:rsid w:val="00CA7061"/>
    <w:rsid w:val="00CD19CD"/>
    <w:rsid w:val="00CD237C"/>
    <w:rsid w:val="00CD2B75"/>
    <w:rsid w:val="00CD428E"/>
    <w:rsid w:val="00CE4019"/>
    <w:rsid w:val="00CF27C4"/>
    <w:rsid w:val="00CF420F"/>
    <w:rsid w:val="00CF4C4B"/>
    <w:rsid w:val="00CF7A1E"/>
    <w:rsid w:val="00D00950"/>
    <w:rsid w:val="00D0264F"/>
    <w:rsid w:val="00D03ACB"/>
    <w:rsid w:val="00D03EFD"/>
    <w:rsid w:val="00D071AA"/>
    <w:rsid w:val="00D160D9"/>
    <w:rsid w:val="00D40332"/>
    <w:rsid w:val="00D40522"/>
    <w:rsid w:val="00D45EF6"/>
    <w:rsid w:val="00D461BF"/>
    <w:rsid w:val="00D5155F"/>
    <w:rsid w:val="00D5276E"/>
    <w:rsid w:val="00D548BB"/>
    <w:rsid w:val="00D55698"/>
    <w:rsid w:val="00D559D7"/>
    <w:rsid w:val="00D56EBA"/>
    <w:rsid w:val="00D64160"/>
    <w:rsid w:val="00D7744B"/>
    <w:rsid w:val="00D77492"/>
    <w:rsid w:val="00D835BF"/>
    <w:rsid w:val="00D83F19"/>
    <w:rsid w:val="00D9009C"/>
    <w:rsid w:val="00D91BDE"/>
    <w:rsid w:val="00D93C74"/>
    <w:rsid w:val="00D977C4"/>
    <w:rsid w:val="00DA4D68"/>
    <w:rsid w:val="00DA52AA"/>
    <w:rsid w:val="00DB26A9"/>
    <w:rsid w:val="00DB64ED"/>
    <w:rsid w:val="00DB653D"/>
    <w:rsid w:val="00DB75B6"/>
    <w:rsid w:val="00DC23D2"/>
    <w:rsid w:val="00DD3D17"/>
    <w:rsid w:val="00DD7A87"/>
    <w:rsid w:val="00DE70B0"/>
    <w:rsid w:val="00DF4DC1"/>
    <w:rsid w:val="00DF53A9"/>
    <w:rsid w:val="00E01A5A"/>
    <w:rsid w:val="00E03EDB"/>
    <w:rsid w:val="00E07429"/>
    <w:rsid w:val="00E13129"/>
    <w:rsid w:val="00E14514"/>
    <w:rsid w:val="00E162CD"/>
    <w:rsid w:val="00E20659"/>
    <w:rsid w:val="00E31884"/>
    <w:rsid w:val="00E35ED1"/>
    <w:rsid w:val="00E52788"/>
    <w:rsid w:val="00E65230"/>
    <w:rsid w:val="00E670D4"/>
    <w:rsid w:val="00E6761E"/>
    <w:rsid w:val="00E701D2"/>
    <w:rsid w:val="00E91014"/>
    <w:rsid w:val="00E9120A"/>
    <w:rsid w:val="00EA50D2"/>
    <w:rsid w:val="00EA7B44"/>
    <w:rsid w:val="00EB2ED8"/>
    <w:rsid w:val="00EB64F5"/>
    <w:rsid w:val="00EC2ACE"/>
    <w:rsid w:val="00EC2C92"/>
    <w:rsid w:val="00EC5CB3"/>
    <w:rsid w:val="00ED794A"/>
    <w:rsid w:val="00EE42C8"/>
    <w:rsid w:val="00EE74CE"/>
    <w:rsid w:val="00F024F2"/>
    <w:rsid w:val="00F0476C"/>
    <w:rsid w:val="00F04AD3"/>
    <w:rsid w:val="00F128E1"/>
    <w:rsid w:val="00F31E04"/>
    <w:rsid w:val="00F345FC"/>
    <w:rsid w:val="00F3615F"/>
    <w:rsid w:val="00F36BB0"/>
    <w:rsid w:val="00F40576"/>
    <w:rsid w:val="00F4348B"/>
    <w:rsid w:val="00F52A62"/>
    <w:rsid w:val="00F60919"/>
    <w:rsid w:val="00F64F97"/>
    <w:rsid w:val="00F70CF9"/>
    <w:rsid w:val="00F746B7"/>
    <w:rsid w:val="00F84933"/>
    <w:rsid w:val="00F852D7"/>
    <w:rsid w:val="00F92193"/>
    <w:rsid w:val="00F95432"/>
    <w:rsid w:val="00FB2459"/>
    <w:rsid w:val="00FB351E"/>
    <w:rsid w:val="00FB5D75"/>
    <w:rsid w:val="00FD148E"/>
    <w:rsid w:val="00FD1B10"/>
    <w:rsid w:val="00FF4067"/>
    <w:rsid w:val="00FF41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6C"/>
    <w:pPr>
      <w:spacing w:after="200" w:line="276" w:lineRule="auto"/>
    </w:pPr>
    <w:rPr>
      <w:rFonts w:ascii="Verdana" w:eastAsia="Verdana" w:hAnsi="Verdana" w:cs="Verdana"/>
      <w:color w:val="000000"/>
    </w:rPr>
  </w:style>
  <w:style w:type="paragraph" w:styleId="Heading1">
    <w:name w:val="heading 1"/>
    <w:basedOn w:val="Normal"/>
    <w:next w:val="Normal"/>
    <w:link w:val="Heading1Char"/>
    <w:uiPriority w:val="9"/>
    <w:qFormat/>
    <w:rsid w:val="00E6761E"/>
    <w:pPr>
      <w:pBdr>
        <w:bottom w:val="single" w:sz="4" w:space="16" w:color="003768"/>
      </w:pBdr>
      <w:spacing w:before="360"/>
      <w:outlineLvl w:val="0"/>
    </w:pPr>
    <w:rPr>
      <w:rFonts w:ascii="Georgia" w:eastAsia="Georgia" w:hAnsi="Georgia" w:cs="Georgia"/>
      <w:color w:val="54534A"/>
      <w:sz w:val="32"/>
      <w:szCs w:val="18"/>
      <w:lang w:eastAsia="zh-CN"/>
    </w:rPr>
  </w:style>
  <w:style w:type="paragraph" w:styleId="Heading2">
    <w:name w:val="heading 2"/>
    <w:basedOn w:val="Normal"/>
    <w:next w:val="Normal"/>
    <w:link w:val="Heading2Char"/>
    <w:uiPriority w:val="9"/>
    <w:unhideWhenUsed/>
    <w:qFormat/>
    <w:rsid w:val="00E6761E"/>
    <w:pPr>
      <w:keepNext/>
      <w:spacing w:before="360"/>
      <w:outlineLvl w:val="1"/>
    </w:pPr>
    <w:rPr>
      <w:rFonts w:ascii="Georgia" w:eastAsia="Georgia" w:hAnsi="Georgia" w:cs="Georgia"/>
      <w:color w:val="003768"/>
      <w:sz w:val="32"/>
      <w:szCs w:val="18"/>
      <w:lang w:eastAsia="zh-CN"/>
    </w:rPr>
  </w:style>
  <w:style w:type="paragraph" w:styleId="Heading3">
    <w:name w:val="heading 3"/>
    <w:basedOn w:val="Normal"/>
    <w:next w:val="Normal"/>
    <w:link w:val="Heading3Char"/>
    <w:uiPriority w:val="9"/>
    <w:unhideWhenUsed/>
    <w:qFormat/>
    <w:rsid w:val="00E6761E"/>
    <w:pPr>
      <w:keepNext/>
      <w:keepLines/>
      <w:spacing w:before="360"/>
      <w:outlineLvl w:val="2"/>
    </w:pPr>
    <w:rPr>
      <w:rFonts w:eastAsiaTheme="majorEastAsia" w:cstheme="majorBidi"/>
      <w:b/>
      <w:color w:val="00376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61E"/>
    <w:rPr>
      <w:rFonts w:ascii="Georgia" w:eastAsia="Georgia" w:hAnsi="Georgia" w:cs="Georgia"/>
      <w:color w:val="54534A"/>
      <w:sz w:val="32"/>
      <w:szCs w:val="18"/>
      <w:lang w:eastAsia="zh-CN"/>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3371E"/>
    <w:rPr>
      <w:sz w:val="16"/>
      <w:szCs w:val="16"/>
    </w:rPr>
  </w:style>
  <w:style w:type="paragraph" w:styleId="CommentText">
    <w:name w:val="annotation text"/>
    <w:basedOn w:val="Normal"/>
    <w:link w:val="CommentTextChar"/>
    <w:uiPriority w:val="99"/>
    <w:unhideWhenUsed/>
    <w:rsid w:val="0093371E"/>
    <w:pPr>
      <w:spacing w:line="240" w:lineRule="auto"/>
    </w:pPr>
    <w:rPr>
      <w:sz w:val="20"/>
      <w:szCs w:val="20"/>
    </w:rPr>
  </w:style>
  <w:style w:type="character" w:customStyle="1" w:styleId="CommentTextChar">
    <w:name w:val="Comment Text Char"/>
    <w:basedOn w:val="DefaultParagraphFont"/>
    <w:link w:val="CommentText"/>
    <w:uiPriority w:val="99"/>
    <w:rsid w:val="0093371E"/>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3371E"/>
    <w:rPr>
      <w:b/>
      <w:bCs/>
    </w:rPr>
  </w:style>
  <w:style w:type="character" w:customStyle="1" w:styleId="CommentSubjectChar">
    <w:name w:val="Comment Subject Char"/>
    <w:basedOn w:val="CommentTextChar"/>
    <w:link w:val="CommentSubject"/>
    <w:uiPriority w:val="99"/>
    <w:semiHidden/>
    <w:rsid w:val="0093371E"/>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933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1E"/>
    <w:rPr>
      <w:rFonts w:ascii="Segoe UI" w:eastAsia="Verdana" w:hAnsi="Segoe UI" w:cs="Segoe UI"/>
      <w:color w:val="000000"/>
      <w:sz w:val="18"/>
      <w:szCs w:val="18"/>
    </w:rPr>
  </w:style>
  <w:style w:type="character" w:customStyle="1" w:styleId="BodyChar">
    <w:name w:val="Body Char"/>
    <w:link w:val="Body"/>
    <w:locked/>
    <w:rsid w:val="00B66F36"/>
    <w:rPr>
      <w:rFonts w:ascii="Verdana" w:hAnsi="Verdana"/>
    </w:rPr>
  </w:style>
  <w:style w:type="paragraph" w:customStyle="1" w:styleId="Body">
    <w:name w:val="Body"/>
    <w:basedOn w:val="Normal"/>
    <w:link w:val="BodyChar"/>
    <w:qFormat/>
    <w:rsid w:val="00B66F36"/>
    <w:pPr>
      <w:numPr>
        <w:numId w:val="5"/>
      </w:numPr>
      <w:tabs>
        <w:tab w:val="left" w:pos="1843"/>
        <w:tab w:val="left" w:pos="3119"/>
        <w:tab w:val="left" w:pos="4253"/>
      </w:tabs>
      <w:spacing w:before="120" w:after="120"/>
    </w:pPr>
    <w:rPr>
      <w:rFonts w:eastAsiaTheme="minorEastAsia" w:cstheme="minorBidi"/>
      <w:color w:val="auto"/>
    </w:rPr>
  </w:style>
  <w:style w:type="paragraph" w:customStyle="1" w:styleId="aDefinition">
    <w:name w:val="(a) Definition"/>
    <w:basedOn w:val="Body"/>
    <w:qFormat/>
    <w:rsid w:val="005859AE"/>
    <w:pPr>
      <w:numPr>
        <w:ilvl w:val="1"/>
      </w:numPr>
      <w:tabs>
        <w:tab w:val="clear" w:pos="851"/>
        <w:tab w:val="clear" w:pos="1843"/>
        <w:tab w:val="clear" w:pos="3119"/>
        <w:tab w:val="clear" w:pos="4253"/>
        <w:tab w:val="num" w:pos="360"/>
      </w:tabs>
      <w:ind w:left="1080"/>
    </w:pPr>
  </w:style>
  <w:style w:type="paragraph" w:customStyle="1" w:styleId="iDefinition">
    <w:name w:val="(i) Definition"/>
    <w:basedOn w:val="Body"/>
    <w:qFormat/>
    <w:rsid w:val="005859AE"/>
    <w:pPr>
      <w:numPr>
        <w:ilvl w:val="2"/>
      </w:numPr>
      <w:tabs>
        <w:tab w:val="clear" w:pos="1843"/>
        <w:tab w:val="clear" w:pos="3119"/>
        <w:tab w:val="clear" w:pos="4253"/>
        <w:tab w:val="num" w:pos="360"/>
      </w:tabs>
      <w:ind w:left="1800"/>
    </w:pPr>
  </w:style>
  <w:style w:type="paragraph" w:styleId="ListParagraph">
    <w:name w:val="List Paragraph"/>
    <w:basedOn w:val="Normal"/>
    <w:uiPriority w:val="34"/>
    <w:qFormat/>
    <w:rsid w:val="003A57D3"/>
    <w:pPr>
      <w:ind w:left="720"/>
      <w:contextualSpacing/>
    </w:pPr>
  </w:style>
  <w:style w:type="paragraph" w:customStyle="1" w:styleId="Level1">
    <w:name w:val="Level 1"/>
    <w:basedOn w:val="Normal"/>
    <w:qFormat/>
    <w:rsid w:val="003A57D3"/>
    <w:pPr>
      <w:numPr>
        <w:numId w:val="7"/>
      </w:numPr>
      <w:spacing w:after="240" w:line="240" w:lineRule="auto"/>
      <w:jc w:val="both"/>
      <w:outlineLvl w:val="0"/>
    </w:pPr>
    <w:rPr>
      <w:rFonts w:eastAsia="Times New Roman" w:cs="Times New Roman"/>
      <w:color w:val="auto"/>
      <w:sz w:val="18"/>
      <w:szCs w:val="18"/>
      <w:lang w:eastAsia="zh-CN"/>
    </w:rPr>
  </w:style>
  <w:style w:type="character" w:customStyle="1" w:styleId="Level2Char">
    <w:name w:val="Level 2 Char"/>
    <w:link w:val="Level2"/>
    <w:locked/>
    <w:rsid w:val="003A57D3"/>
  </w:style>
  <w:style w:type="paragraph" w:customStyle="1" w:styleId="Level2">
    <w:name w:val="Level 2"/>
    <w:basedOn w:val="Normal"/>
    <w:link w:val="Level2Char"/>
    <w:qFormat/>
    <w:rsid w:val="003A57D3"/>
    <w:pPr>
      <w:numPr>
        <w:ilvl w:val="1"/>
        <w:numId w:val="7"/>
      </w:numPr>
      <w:spacing w:after="240" w:line="240" w:lineRule="auto"/>
      <w:jc w:val="both"/>
      <w:outlineLvl w:val="1"/>
    </w:pPr>
    <w:rPr>
      <w:rFonts w:asciiTheme="minorHAnsi" w:eastAsiaTheme="minorEastAsia" w:hAnsiTheme="minorHAnsi" w:cstheme="minorBidi"/>
      <w:color w:val="auto"/>
    </w:rPr>
  </w:style>
  <w:style w:type="paragraph" w:customStyle="1" w:styleId="Level3">
    <w:name w:val="Level 3"/>
    <w:basedOn w:val="Normal"/>
    <w:link w:val="Level3Char"/>
    <w:qFormat/>
    <w:rsid w:val="003A57D3"/>
    <w:pPr>
      <w:numPr>
        <w:ilvl w:val="2"/>
        <w:numId w:val="7"/>
      </w:numPr>
      <w:spacing w:after="240" w:line="240" w:lineRule="auto"/>
      <w:jc w:val="both"/>
      <w:outlineLvl w:val="2"/>
    </w:pPr>
    <w:rPr>
      <w:rFonts w:eastAsia="Times New Roman" w:cs="Times New Roman"/>
      <w:color w:val="auto"/>
      <w:sz w:val="18"/>
      <w:szCs w:val="18"/>
      <w:lang w:eastAsia="zh-CN"/>
    </w:rPr>
  </w:style>
  <w:style w:type="paragraph" w:customStyle="1" w:styleId="Level4">
    <w:name w:val="Level 4"/>
    <w:basedOn w:val="Normal"/>
    <w:qFormat/>
    <w:rsid w:val="003A57D3"/>
    <w:pPr>
      <w:numPr>
        <w:ilvl w:val="3"/>
        <w:numId w:val="7"/>
      </w:numPr>
      <w:spacing w:after="240" w:line="240" w:lineRule="auto"/>
      <w:jc w:val="both"/>
      <w:outlineLvl w:val="3"/>
    </w:pPr>
    <w:rPr>
      <w:rFonts w:eastAsia="Times New Roman" w:cs="Times New Roman"/>
      <w:color w:val="auto"/>
      <w:sz w:val="18"/>
      <w:szCs w:val="18"/>
      <w:lang w:eastAsia="zh-CN"/>
    </w:rPr>
  </w:style>
  <w:style w:type="paragraph" w:customStyle="1" w:styleId="Level5">
    <w:name w:val="Level 5"/>
    <w:basedOn w:val="Normal"/>
    <w:qFormat/>
    <w:rsid w:val="003A57D3"/>
    <w:pPr>
      <w:numPr>
        <w:ilvl w:val="4"/>
        <w:numId w:val="7"/>
      </w:numPr>
      <w:spacing w:after="240" w:line="240" w:lineRule="auto"/>
      <w:jc w:val="both"/>
      <w:outlineLvl w:val="4"/>
    </w:pPr>
    <w:rPr>
      <w:rFonts w:eastAsia="Times New Roman" w:cs="Times New Roman"/>
      <w:color w:val="auto"/>
      <w:sz w:val="18"/>
      <w:szCs w:val="18"/>
      <w:lang w:eastAsia="zh-CN"/>
    </w:rPr>
  </w:style>
  <w:style w:type="paragraph" w:customStyle="1" w:styleId="Level6">
    <w:name w:val="Level 6"/>
    <w:basedOn w:val="Level5"/>
    <w:rsid w:val="003A57D3"/>
    <w:pPr>
      <w:numPr>
        <w:ilvl w:val="5"/>
      </w:numPr>
    </w:pPr>
  </w:style>
  <w:style w:type="paragraph" w:customStyle="1" w:styleId="Level7">
    <w:name w:val="Level 7"/>
    <w:basedOn w:val="Normal"/>
    <w:rsid w:val="003A57D3"/>
    <w:pPr>
      <w:numPr>
        <w:ilvl w:val="6"/>
        <w:numId w:val="7"/>
      </w:numPr>
      <w:spacing w:after="240" w:line="240" w:lineRule="auto"/>
      <w:jc w:val="both"/>
    </w:pPr>
    <w:rPr>
      <w:rFonts w:eastAsia="Times New Roman" w:cs="Times New Roman"/>
      <w:color w:val="auto"/>
      <w:sz w:val="18"/>
      <w:szCs w:val="18"/>
      <w:lang w:eastAsia="zh-CN"/>
    </w:rPr>
  </w:style>
  <w:style w:type="character" w:customStyle="1" w:styleId="Level3Char">
    <w:name w:val="Level 3 Char"/>
    <w:link w:val="Level3"/>
    <w:locked/>
    <w:rsid w:val="003A57D3"/>
    <w:rPr>
      <w:rFonts w:ascii="Verdana" w:eastAsia="Times New Roman" w:hAnsi="Verdana" w:cs="Times New Roman"/>
      <w:sz w:val="18"/>
      <w:szCs w:val="18"/>
      <w:lang w:eastAsia="zh-CN"/>
    </w:rPr>
  </w:style>
  <w:style w:type="table" w:styleId="TableGrid0">
    <w:name w:val="Table Grid"/>
    <w:basedOn w:val="TableNormal"/>
    <w:uiPriority w:val="39"/>
    <w:rsid w:val="00170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0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E1"/>
    <w:rPr>
      <w:rFonts w:ascii="Verdana" w:eastAsia="Verdana" w:hAnsi="Verdana" w:cs="Verdana"/>
      <w:color w:val="000000"/>
    </w:rPr>
  </w:style>
  <w:style w:type="character" w:customStyle="1" w:styleId="Heading2Char">
    <w:name w:val="Heading 2 Char"/>
    <w:basedOn w:val="DefaultParagraphFont"/>
    <w:link w:val="Heading2"/>
    <w:uiPriority w:val="9"/>
    <w:rsid w:val="00E6761E"/>
    <w:rPr>
      <w:rFonts w:ascii="Georgia" w:eastAsia="Georgia" w:hAnsi="Georgia" w:cs="Georgia"/>
      <w:color w:val="003768"/>
      <w:sz w:val="32"/>
      <w:szCs w:val="18"/>
      <w:lang w:eastAsia="zh-CN"/>
    </w:rPr>
  </w:style>
  <w:style w:type="character" w:customStyle="1" w:styleId="Heading3Char">
    <w:name w:val="Heading 3 Char"/>
    <w:basedOn w:val="DefaultParagraphFont"/>
    <w:link w:val="Heading3"/>
    <w:uiPriority w:val="9"/>
    <w:rsid w:val="00E6761E"/>
    <w:rPr>
      <w:rFonts w:ascii="Verdana" w:eastAsiaTheme="majorEastAsia" w:hAnsi="Verdana" w:cstheme="majorBidi"/>
      <w:b/>
      <w:color w:val="003768"/>
      <w:szCs w:val="24"/>
    </w:rPr>
  </w:style>
  <w:style w:type="paragraph" w:customStyle="1" w:styleId="Bodyindent">
    <w:name w:val="Body indent"/>
    <w:basedOn w:val="Body"/>
    <w:link w:val="BodyindentChar"/>
    <w:qFormat/>
    <w:rsid w:val="00E6761E"/>
    <w:pPr>
      <w:numPr>
        <w:numId w:val="0"/>
      </w:numPr>
      <w:ind w:left="261" w:hanging="261"/>
    </w:pPr>
    <w:rPr>
      <w:rFonts w:eastAsia="Times New Roman" w:cs="Times New Roman"/>
      <w:szCs w:val="18"/>
      <w:lang w:eastAsia="zh-CN"/>
    </w:rPr>
  </w:style>
  <w:style w:type="character" w:customStyle="1" w:styleId="BodyindentChar">
    <w:name w:val="Body indent Char"/>
    <w:basedOn w:val="BodyChar"/>
    <w:link w:val="Bodyindent"/>
    <w:rsid w:val="00E6761E"/>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3A4A6F"/>
    <w:pPr>
      <w:numPr>
        <w:numId w:val="20"/>
      </w:numPr>
      <w:ind w:left="454" w:hanging="454"/>
    </w:pPr>
  </w:style>
  <w:style w:type="paragraph" w:styleId="Footer">
    <w:name w:val="footer"/>
    <w:basedOn w:val="Normal"/>
    <w:link w:val="FooterChar"/>
    <w:uiPriority w:val="99"/>
    <w:unhideWhenUsed/>
    <w:rsid w:val="00EC2ACE"/>
    <w:pPr>
      <w:tabs>
        <w:tab w:val="center" w:pos="4513"/>
        <w:tab w:val="right" w:pos="9026"/>
      </w:tabs>
      <w:spacing w:after="0" w:line="240" w:lineRule="auto"/>
    </w:pPr>
  </w:style>
  <w:style w:type="character" w:customStyle="1" w:styleId="NormalNumberedChar">
    <w:name w:val="Normal Numbered Char"/>
    <w:basedOn w:val="DefaultParagraphFont"/>
    <w:link w:val="NormalNumbered"/>
    <w:rsid w:val="003A4A6F"/>
    <w:rPr>
      <w:rFonts w:ascii="Verdana" w:eastAsia="Verdana" w:hAnsi="Verdana" w:cs="Verdana"/>
      <w:color w:val="000000"/>
    </w:rPr>
  </w:style>
  <w:style w:type="character" w:customStyle="1" w:styleId="FooterChar">
    <w:name w:val="Footer Char"/>
    <w:basedOn w:val="DefaultParagraphFont"/>
    <w:link w:val="Footer"/>
    <w:uiPriority w:val="99"/>
    <w:rsid w:val="00EC2ACE"/>
    <w:rPr>
      <w:rFonts w:ascii="Verdana" w:eastAsia="Verdana" w:hAnsi="Verdana" w:cs="Verdana"/>
      <w:color w:val="000000"/>
    </w:rPr>
  </w:style>
  <w:style w:type="character" w:styleId="Hyperlink">
    <w:name w:val="Hyperlink"/>
    <w:basedOn w:val="DefaultParagraphFont"/>
    <w:uiPriority w:val="99"/>
    <w:unhideWhenUsed/>
    <w:rsid w:val="00611F78"/>
    <w:rPr>
      <w:color w:val="0563C1" w:themeColor="hyperlink"/>
      <w:u w:val="single"/>
    </w:rPr>
  </w:style>
  <w:style w:type="character" w:styleId="UnresolvedMention">
    <w:name w:val="Unresolved Mention"/>
    <w:basedOn w:val="DefaultParagraphFont"/>
    <w:uiPriority w:val="99"/>
    <w:semiHidden/>
    <w:unhideWhenUsed/>
    <w:rsid w:val="0061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432910">
      <w:bodyDiv w:val="1"/>
      <w:marLeft w:val="0"/>
      <w:marRight w:val="0"/>
      <w:marTop w:val="0"/>
      <w:marBottom w:val="0"/>
      <w:divBdr>
        <w:top w:val="none" w:sz="0" w:space="0" w:color="auto"/>
        <w:left w:val="none" w:sz="0" w:space="0" w:color="auto"/>
        <w:bottom w:val="none" w:sz="0" w:space="0" w:color="auto"/>
        <w:right w:val="none" w:sz="0" w:space="0" w:color="auto"/>
      </w:divBdr>
    </w:div>
    <w:div w:id="720251111">
      <w:bodyDiv w:val="1"/>
      <w:marLeft w:val="0"/>
      <w:marRight w:val="0"/>
      <w:marTop w:val="0"/>
      <w:marBottom w:val="0"/>
      <w:divBdr>
        <w:top w:val="none" w:sz="0" w:space="0" w:color="auto"/>
        <w:left w:val="none" w:sz="0" w:space="0" w:color="auto"/>
        <w:bottom w:val="none" w:sz="0" w:space="0" w:color="auto"/>
        <w:right w:val="none" w:sz="0" w:space="0" w:color="auto"/>
      </w:divBdr>
    </w:div>
    <w:div w:id="804465627">
      <w:bodyDiv w:val="1"/>
      <w:marLeft w:val="0"/>
      <w:marRight w:val="0"/>
      <w:marTop w:val="0"/>
      <w:marBottom w:val="0"/>
      <w:divBdr>
        <w:top w:val="none" w:sz="0" w:space="0" w:color="auto"/>
        <w:left w:val="none" w:sz="0" w:space="0" w:color="auto"/>
        <w:bottom w:val="none" w:sz="0" w:space="0" w:color="auto"/>
        <w:right w:val="none" w:sz="0" w:space="0" w:color="auto"/>
      </w:divBdr>
    </w:div>
    <w:div w:id="916749530">
      <w:bodyDiv w:val="1"/>
      <w:marLeft w:val="0"/>
      <w:marRight w:val="0"/>
      <w:marTop w:val="0"/>
      <w:marBottom w:val="0"/>
      <w:divBdr>
        <w:top w:val="none" w:sz="0" w:space="0" w:color="auto"/>
        <w:left w:val="none" w:sz="0" w:space="0" w:color="auto"/>
        <w:bottom w:val="none" w:sz="0" w:space="0" w:color="auto"/>
        <w:right w:val="none" w:sz="0" w:space="0" w:color="auto"/>
      </w:divBdr>
    </w:div>
    <w:div w:id="1643459433">
      <w:bodyDiv w:val="1"/>
      <w:marLeft w:val="0"/>
      <w:marRight w:val="0"/>
      <w:marTop w:val="0"/>
      <w:marBottom w:val="0"/>
      <w:divBdr>
        <w:top w:val="none" w:sz="0" w:space="0" w:color="auto"/>
        <w:left w:val="none" w:sz="0" w:space="0" w:color="auto"/>
        <w:bottom w:val="none" w:sz="0" w:space="0" w:color="auto"/>
        <w:right w:val="none" w:sz="0" w:space="0" w:color="auto"/>
      </w:divBdr>
    </w:div>
    <w:div w:id="1667703631">
      <w:bodyDiv w:val="1"/>
      <w:marLeft w:val="0"/>
      <w:marRight w:val="0"/>
      <w:marTop w:val="0"/>
      <w:marBottom w:val="0"/>
      <w:divBdr>
        <w:top w:val="none" w:sz="0" w:space="0" w:color="auto"/>
        <w:left w:val="none" w:sz="0" w:space="0" w:color="auto"/>
        <w:bottom w:val="none" w:sz="0" w:space="0" w:color="auto"/>
        <w:right w:val="none" w:sz="0" w:space="0" w:color="auto"/>
      </w:divBdr>
    </w:div>
    <w:div w:id="1924336369">
      <w:bodyDiv w:val="1"/>
      <w:marLeft w:val="0"/>
      <w:marRight w:val="0"/>
      <w:marTop w:val="0"/>
      <w:marBottom w:val="0"/>
      <w:divBdr>
        <w:top w:val="none" w:sz="0" w:space="0" w:color="auto"/>
        <w:left w:val="none" w:sz="0" w:space="0" w:color="auto"/>
        <w:bottom w:val="none" w:sz="0" w:space="0" w:color="auto"/>
        <w:right w:val="none" w:sz="0" w:space="0" w:color="auto"/>
      </w:divBdr>
    </w:div>
    <w:div w:id="1944142505">
      <w:bodyDiv w:val="1"/>
      <w:marLeft w:val="0"/>
      <w:marRight w:val="0"/>
      <w:marTop w:val="0"/>
      <w:marBottom w:val="0"/>
      <w:divBdr>
        <w:top w:val="none" w:sz="0" w:space="0" w:color="auto"/>
        <w:left w:val="none" w:sz="0" w:space="0" w:color="auto"/>
        <w:bottom w:val="none" w:sz="0" w:space="0" w:color="auto"/>
        <w:right w:val="none" w:sz="0" w:space="0" w:color="auto"/>
      </w:divBdr>
    </w:div>
    <w:div w:id="2043168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pport.techsmith.com/hc/en-us/articles/360025940832-Sub-Processor-Lis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794D5-8397-427C-AB8D-9F40EC885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2025-05-09T20:42:00Z</dcterms:created>
  <dcterms:modified xsi:type="dcterms:W3CDTF">2025-05-09T20:42:00Z</dcterms:modified>
</cp:coreProperties>
</file>